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44399F" w14:textId="4F62137D" w:rsidR="00F76FFE" w:rsidRDefault="00F76FFE" w:rsidP="00983F14">
      <w:pPr>
        <w:spacing w:after="0" w:line="276" w:lineRule="auto"/>
        <w:rPr>
          <w:rFonts w:ascii="Arial" w:hAnsi="Arial" w:cs="Arial"/>
          <w:sz w:val="24"/>
          <w:szCs w:val="24"/>
        </w:rPr>
      </w:pPr>
    </w:p>
    <w:p w14:paraId="6D8B412F" w14:textId="335CD994" w:rsidR="00B8252C" w:rsidRPr="00B8252C" w:rsidRDefault="00396DE0" w:rsidP="00B8252C">
      <w:pPr>
        <w:suppressAutoHyphens w:val="0"/>
        <w:autoSpaceDN w:val="0"/>
        <w:spacing w:after="0" w:line="288" w:lineRule="auto"/>
        <w:rPr>
          <w:rFonts w:ascii="Carlito" w:hAnsi="Carlito" w:cs="Carlito"/>
          <w:b/>
        </w:rPr>
      </w:pPr>
      <w:r>
        <w:rPr>
          <w:rFonts w:ascii="Arial" w:hAnsi="Arial" w:cs="Arial"/>
          <w:b/>
          <w:sz w:val="24"/>
        </w:rPr>
        <w:t>Załącznik nr 6 do Uchwały Nr 1719/24</w:t>
      </w:r>
      <w:r w:rsidR="00B8252C">
        <w:rPr>
          <w:rFonts w:ascii="Arial" w:hAnsi="Arial" w:cs="Arial"/>
          <w:b/>
          <w:sz w:val="24"/>
        </w:rPr>
        <w:t xml:space="preserve"> Zarządu Woje</w:t>
      </w:r>
      <w:r>
        <w:rPr>
          <w:rFonts w:ascii="Arial" w:hAnsi="Arial" w:cs="Arial"/>
          <w:b/>
          <w:sz w:val="24"/>
        </w:rPr>
        <w:t>wództwa Małopolskiego z dnia 13 sierpnia</w:t>
      </w:r>
      <w:bookmarkStart w:id="0" w:name="_GoBack"/>
      <w:bookmarkEnd w:id="0"/>
      <w:r w:rsidR="00B8252C">
        <w:rPr>
          <w:rFonts w:ascii="Arial" w:hAnsi="Arial" w:cs="Arial"/>
          <w:b/>
          <w:sz w:val="24"/>
        </w:rPr>
        <w:t xml:space="preserve"> 2024 r.</w:t>
      </w:r>
    </w:p>
    <w:p w14:paraId="2C7DB3FF" w14:textId="77777777" w:rsidR="00B8252C" w:rsidRDefault="00B8252C" w:rsidP="00983F14">
      <w:pPr>
        <w:spacing w:after="0" w:line="276" w:lineRule="auto"/>
        <w:rPr>
          <w:rFonts w:ascii="Arial" w:hAnsi="Arial" w:cs="Arial"/>
          <w:sz w:val="24"/>
          <w:szCs w:val="24"/>
        </w:rPr>
      </w:pPr>
    </w:p>
    <w:p w14:paraId="42D245AE" w14:textId="1FDE4159" w:rsidR="00A90694" w:rsidRPr="0079390E" w:rsidRDefault="0079390E" w:rsidP="00983F14">
      <w:pPr>
        <w:spacing w:after="0" w:line="276" w:lineRule="auto"/>
        <w:rPr>
          <w:rFonts w:ascii="Arial" w:hAnsi="Arial" w:cs="Arial"/>
          <w:sz w:val="24"/>
          <w:szCs w:val="24"/>
        </w:rPr>
      </w:pPr>
      <w:r w:rsidRPr="0079390E">
        <w:rPr>
          <w:rFonts w:ascii="Arial" w:hAnsi="Arial" w:cs="Arial"/>
          <w:sz w:val="24"/>
          <w:szCs w:val="24"/>
        </w:rPr>
        <w:t>Załącznik Nr 8 do Uchwały Nr …………... Zarządu Województwa Małopolskiego z dnia ………… </w:t>
      </w:r>
    </w:p>
    <w:p w14:paraId="1ED2A13F" w14:textId="77777777" w:rsidR="0079390E" w:rsidRPr="0079390E" w:rsidRDefault="0079390E" w:rsidP="00983F14">
      <w:pPr>
        <w:spacing w:after="0" w:line="276" w:lineRule="auto"/>
        <w:rPr>
          <w:rFonts w:ascii="Arial" w:hAnsi="Arial" w:cs="Arial"/>
          <w:b/>
          <w:szCs w:val="24"/>
        </w:rPr>
      </w:pPr>
    </w:p>
    <w:p w14:paraId="17C7F8CF" w14:textId="77777777" w:rsidR="00147640" w:rsidRDefault="008D5AF8" w:rsidP="00983F14">
      <w:pPr>
        <w:spacing w:after="0" w:line="276" w:lineRule="auto"/>
        <w:rPr>
          <w:rFonts w:ascii="Arial" w:hAnsi="Arial" w:cs="Arial"/>
          <w:b/>
          <w:sz w:val="24"/>
          <w:szCs w:val="24"/>
        </w:rPr>
      </w:pPr>
      <w:r w:rsidRPr="000D2664">
        <w:rPr>
          <w:rFonts w:ascii="Arial" w:hAnsi="Arial" w:cs="Arial"/>
          <w:b/>
          <w:sz w:val="24"/>
          <w:szCs w:val="24"/>
        </w:rPr>
        <w:t>Katalog</w:t>
      </w:r>
      <w:r w:rsidR="00220066" w:rsidRPr="000D2664">
        <w:rPr>
          <w:rFonts w:ascii="Arial" w:hAnsi="Arial" w:cs="Arial"/>
          <w:b/>
          <w:sz w:val="24"/>
          <w:szCs w:val="24"/>
        </w:rPr>
        <w:t xml:space="preserve"> wskaźników</w:t>
      </w:r>
      <w:r w:rsidR="00E76E19" w:rsidRPr="000D2664">
        <w:rPr>
          <w:rFonts w:ascii="Arial" w:hAnsi="Arial" w:cs="Arial"/>
          <w:b/>
          <w:sz w:val="24"/>
          <w:szCs w:val="24"/>
        </w:rPr>
        <w:t xml:space="preserve"> obligatoryjnych</w:t>
      </w:r>
    </w:p>
    <w:p w14:paraId="6DA0D372" w14:textId="77777777" w:rsidR="00B93609" w:rsidRPr="000D2664" w:rsidRDefault="00B93609" w:rsidP="00983F14">
      <w:pPr>
        <w:spacing w:after="0" w:line="276" w:lineRule="auto"/>
        <w:rPr>
          <w:rFonts w:ascii="Arial" w:hAnsi="Arial" w:cs="Arial"/>
          <w:b/>
          <w:sz w:val="24"/>
          <w:szCs w:val="24"/>
        </w:rPr>
      </w:pPr>
    </w:p>
    <w:p w14:paraId="210A7851" w14:textId="49A2AF79" w:rsidR="00F24841" w:rsidRDefault="00F214A4" w:rsidP="00F24841">
      <w:pPr>
        <w:suppressAutoHyphens w:val="0"/>
        <w:autoSpaceDE w:val="0"/>
        <w:autoSpaceDN w:val="0"/>
        <w:adjustRightInd w:val="0"/>
        <w:spacing w:after="0" w:line="276" w:lineRule="auto"/>
        <w:rPr>
          <w:rFonts w:ascii="Arial" w:hAnsi="Arial" w:cs="Arial"/>
          <w:b/>
          <w:sz w:val="24"/>
          <w:szCs w:val="24"/>
        </w:rPr>
      </w:pPr>
      <w:r w:rsidRPr="000D2664">
        <w:rPr>
          <w:rFonts w:ascii="Arial" w:hAnsi="Arial" w:cs="Arial"/>
          <w:b/>
          <w:sz w:val="24"/>
          <w:szCs w:val="24"/>
          <w:lang w:eastAsia="en-US"/>
        </w:rPr>
        <w:t xml:space="preserve">Działanie </w:t>
      </w:r>
      <w:r w:rsidR="0007286C">
        <w:rPr>
          <w:rFonts w:ascii="Arial" w:hAnsi="Arial" w:cs="Arial"/>
          <w:b/>
          <w:sz w:val="24"/>
          <w:szCs w:val="24"/>
          <w:lang w:eastAsia="en-US"/>
        </w:rPr>
        <w:t>FEMP 0</w:t>
      </w:r>
      <w:r w:rsidR="00F24841">
        <w:rPr>
          <w:rFonts w:ascii="Arial" w:hAnsi="Arial" w:cs="Arial"/>
          <w:b/>
          <w:sz w:val="24"/>
          <w:szCs w:val="24"/>
        </w:rPr>
        <w:t>1.</w:t>
      </w:r>
      <w:r w:rsidR="00F20EFD">
        <w:rPr>
          <w:rFonts w:ascii="Arial" w:hAnsi="Arial" w:cs="Arial"/>
          <w:b/>
          <w:sz w:val="24"/>
          <w:szCs w:val="24"/>
        </w:rPr>
        <w:t>0</w:t>
      </w:r>
      <w:r w:rsidR="00F24841">
        <w:rPr>
          <w:rFonts w:ascii="Arial" w:hAnsi="Arial" w:cs="Arial"/>
          <w:b/>
          <w:sz w:val="24"/>
          <w:szCs w:val="24"/>
        </w:rPr>
        <w:t>5</w:t>
      </w:r>
      <w:r w:rsidR="0007286C" w:rsidRPr="0007286C">
        <w:rPr>
          <w:rFonts w:ascii="Arial" w:hAnsi="Arial" w:cs="Arial"/>
          <w:b/>
          <w:sz w:val="24"/>
          <w:szCs w:val="24"/>
        </w:rPr>
        <w:t xml:space="preserve"> </w:t>
      </w:r>
      <w:r w:rsidR="00F24841">
        <w:rPr>
          <w:rFonts w:ascii="Arial" w:hAnsi="Arial" w:cs="Arial"/>
          <w:b/>
          <w:sz w:val="24"/>
          <w:szCs w:val="24"/>
        </w:rPr>
        <w:t>REGIONALNY EKOSYSTEM INNOWACJI</w:t>
      </w:r>
    </w:p>
    <w:p w14:paraId="4DDCA9BC" w14:textId="7883F2D3" w:rsidR="00147640" w:rsidRPr="00E036D6" w:rsidRDefault="00B81F32" w:rsidP="00983F14">
      <w:pPr>
        <w:suppressAutoHyphens w:val="0"/>
        <w:autoSpaceDE w:val="0"/>
        <w:autoSpaceDN w:val="0"/>
        <w:adjustRightInd w:val="0"/>
        <w:spacing w:after="0" w:line="276" w:lineRule="auto"/>
        <w:rPr>
          <w:rFonts w:ascii="Arial" w:hAnsi="Arial" w:cs="Arial"/>
          <w:b/>
          <w:sz w:val="24"/>
          <w:szCs w:val="24"/>
        </w:rPr>
      </w:pPr>
      <w:r>
        <w:rPr>
          <w:rFonts w:ascii="Arial" w:hAnsi="Arial" w:cs="Arial"/>
          <w:b/>
          <w:sz w:val="24"/>
          <w:szCs w:val="24"/>
        </w:rPr>
        <w:t>t</w:t>
      </w:r>
      <w:r w:rsidR="0072034D">
        <w:rPr>
          <w:rFonts w:ascii="Arial" w:hAnsi="Arial" w:cs="Arial"/>
          <w:b/>
          <w:sz w:val="24"/>
          <w:szCs w:val="24"/>
        </w:rPr>
        <w:t>ryb niekonkurencyjny</w:t>
      </w:r>
    </w:p>
    <w:p w14:paraId="7160AF16" w14:textId="77777777" w:rsidR="00B5422F" w:rsidRDefault="00B5422F" w:rsidP="00983F14">
      <w:pPr>
        <w:suppressAutoHyphens w:val="0"/>
        <w:autoSpaceDE w:val="0"/>
        <w:autoSpaceDN w:val="0"/>
        <w:adjustRightInd w:val="0"/>
        <w:spacing w:after="0" w:line="276" w:lineRule="auto"/>
        <w:rPr>
          <w:rFonts w:ascii="Arial" w:hAnsi="Arial" w:cs="Arial"/>
          <w:sz w:val="24"/>
          <w:szCs w:val="24"/>
        </w:rPr>
      </w:pPr>
    </w:p>
    <w:p w14:paraId="25686BBD" w14:textId="2C346703" w:rsidR="00102EB8" w:rsidRPr="00E036D6" w:rsidRDefault="00102EB8" w:rsidP="00983F14">
      <w:pPr>
        <w:suppressAutoHyphens w:val="0"/>
        <w:autoSpaceDE w:val="0"/>
        <w:autoSpaceDN w:val="0"/>
        <w:adjustRightInd w:val="0"/>
        <w:spacing w:after="0" w:line="276" w:lineRule="auto"/>
        <w:rPr>
          <w:rFonts w:ascii="Arial" w:hAnsi="Arial" w:cs="Arial"/>
          <w:sz w:val="24"/>
          <w:szCs w:val="24"/>
        </w:rPr>
      </w:pPr>
      <w:r w:rsidRPr="00E036D6">
        <w:rPr>
          <w:rFonts w:ascii="Arial" w:hAnsi="Arial" w:cs="Arial"/>
          <w:sz w:val="24"/>
          <w:szCs w:val="24"/>
        </w:rPr>
        <w:t>Typ projektu:</w:t>
      </w:r>
    </w:p>
    <w:p w14:paraId="5C39D17A" w14:textId="36026FCF" w:rsidR="00D24D94" w:rsidRDefault="00A26FBD" w:rsidP="00FE7BC6">
      <w:pPr>
        <w:pStyle w:val="Akapitzlist"/>
        <w:numPr>
          <w:ilvl w:val="0"/>
          <w:numId w:val="59"/>
        </w:numPr>
        <w:suppressAutoHyphens w:val="0"/>
        <w:autoSpaceDE w:val="0"/>
        <w:autoSpaceDN w:val="0"/>
        <w:adjustRightInd w:val="0"/>
        <w:spacing w:after="0"/>
        <w:ind w:left="426" w:hanging="426"/>
        <w:rPr>
          <w:rFonts w:ascii="Arial" w:hAnsi="Arial" w:cs="Arial"/>
          <w:sz w:val="24"/>
          <w:szCs w:val="24"/>
        </w:rPr>
      </w:pPr>
      <w:r>
        <w:rPr>
          <w:rFonts w:ascii="Arial" w:hAnsi="Arial" w:cs="Arial"/>
          <w:sz w:val="24"/>
          <w:szCs w:val="24"/>
        </w:rPr>
        <w:t>SPIN</w:t>
      </w:r>
    </w:p>
    <w:p w14:paraId="16883B7B" w14:textId="77777777" w:rsidR="00FE7BC6" w:rsidRPr="00FE7BC6" w:rsidRDefault="00FE7BC6" w:rsidP="00FE7BC6">
      <w:pPr>
        <w:suppressAutoHyphens w:val="0"/>
        <w:autoSpaceDE w:val="0"/>
        <w:autoSpaceDN w:val="0"/>
        <w:adjustRightInd w:val="0"/>
        <w:spacing w:after="0"/>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7A1" w:rsidRPr="000D2664" w14:paraId="25B0EFA9" w14:textId="77777777" w:rsidTr="009A0531">
        <w:tc>
          <w:tcPr>
            <w:tcW w:w="2482" w:type="dxa"/>
            <w:shd w:val="clear" w:color="auto" w:fill="auto"/>
          </w:tcPr>
          <w:p w14:paraId="31262CE8"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2095963A"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b/>
                <w:sz w:val="24"/>
                <w:szCs w:val="24"/>
              </w:rPr>
              <w:t>Liczba wspartych mikroprzedsiębiorstw</w:t>
            </w:r>
          </w:p>
        </w:tc>
      </w:tr>
      <w:tr w:rsidR="00A427A1" w:rsidRPr="000D2664" w14:paraId="4E2DDBD1" w14:textId="77777777" w:rsidTr="009A0531">
        <w:tc>
          <w:tcPr>
            <w:tcW w:w="2482" w:type="dxa"/>
            <w:shd w:val="clear" w:color="auto" w:fill="auto"/>
          </w:tcPr>
          <w:p w14:paraId="0FE6EFE7"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298E2BAA"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PLRO001</w:t>
            </w:r>
          </w:p>
        </w:tc>
      </w:tr>
      <w:tr w:rsidR="00A427A1" w:rsidRPr="000D2664" w14:paraId="781642F2" w14:textId="77777777" w:rsidTr="009A0531">
        <w:tc>
          <w:tcPr>
            <w:tcW w:w="2482" w:type="dxa"/>
            <w:shd w:val="clear" w:color="auto" w:fill="auto"/>
          </w:tcPr>
          <w:p w14:paraId="5056D091"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2D8C3D3E" w14:textId="77777777" w:rsidR="00A427A1" w:rsidRPr="000D2664" w:rsidRDefault="008823CF" w:rsidP="00983F14">
            <w:pPr>
              <w:spacing w:after="0" w:line="276" w:lineRule="auto"/>
              <w:rPr>
                <w:rFonts w:ascii="Arial" w:hAnsi="Arial" w:cs="Arial"/>
                <w:sz w:val="24"/>
                <w:szCs w:val="24"/>
              </w:rPr>
            </w:pPr>
            <w:r>
              <w:rPr>
                <w:rFonts w:ascii="Arial" w:hAnsi="Arial" w:cs="Arial"/>
                <w:sz w:val="24"/>
                <w:szCs w:val="24"/>
              </w:rPr>
              <w:t>szt.</w:t>
            </w:r>
            <w:r w:rsidR="00A427A1" w:rsidRPr="000D2664">
              <w:rPr>
                <w:rFonts w:ascii="Arial" w:hAnsi="Arial" w:cs="Arial"/>
                <w:sz w:val="24"/>
                <w:szCs w:val="24"/>
              </w:rPr>
              <w:t xml:space="preserve"> </w:t>
            </w:r>
          </w:p>
        </w:tc>
      </w:tr>
      <w:tr w:rsidR="00A427A1" w:rsidRPr="000D2664" w14:paraId="7047BA1A" w14:textId="77777777" w:rsidTr="009A0531">
        <w:tc>
          <w:tcPr>
            <w:tcW w:w="2482" w:type="dxa"/>
            <w:shd w:val="clear" w:color="auto" w:fill="auto"/>
          </w:tcPr>
          <w:p w14:paraId="09132C70" w14:textId="77777777" w:rsidR="00A427A1" w:rsidRPr="000D2664" w:rsidRDefault="00A427A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3F9C752B"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Produkt (obowiązkowy)</w:t>
            </w:r>
          </w:p>
        </w:tc>
      </w:tr>
      <w:tr w:rsidR="00A427A1" w:rsidRPr="000D2664" w14:paraId="048C881A" w14:textId="77777777" w:rsidTr="009A0531">
        <w:tc>
          <w:tcPr>
            <w:tcW w:w="2482" w:type="dxa"/>
            <w:tcBorders>
              <w:bottom w:val="single" w:sz="4" w:space="0" w:color="auto"/>
            </w:tcBorders>
            <w:shd w:val="clear" w:color="auto" w:fill="auto"/>
          </w:tcPr>
          <w:p w14:paraId="0ABB5C3A" w14:textId="77777777" w:rsidR="00A427A1" w:rsidRPr="000D2664" w:rsidRDefault="00A427A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50CDDC62" w14:textId="77777777" w:rsidR="00A427A1" w:rsidRPr="000D2664" w:rsidRDefault="00D17B98"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Wskaźnik obejmuje mikroprzedsiębiorstwa, które otrzymały wsparcie finansowe oraz pozafinansowe z Europejskiego Funduszu Rozwoju Regiona</w:t>
            </w:r>
            <w:r w:rsidR="005C78CB" w:rsidRPr="000D2664">
              <w:rPr>
                <w:rFonts w:ascii="Arial" w:eastAsia="Times New Roman" w:hAnsi="Arial" w:cs="Arial"/>
                <w:color w:val="auto"/>
              </w:rPr>
              <w:t>lnego (EFRR)</w:t>
            </w:r>
            <w:r w:rsidRPr="000D2664">
              <w:rPr>
                <w:rFonts w:ascii="Arial" w:eastAsia="Times New Roman" w:hAnsi="Arial" w:cs="Arial"/>
                <w:color w:val="auto"/>
              </w:rPr>
              <w:t>, Funduszu Spójności (FS) oraz Funduszu Sprawiedliwej Transformacji (FST). Definicja przedsiębiorstwa zgodna z definicją wskaźnika RCO 01</w:t>
            </w:r>
            <w:bookmarkStart w:id="1" w:name="_Ref131069050"/>
            <w:r w:rsidR="009670F3" w:rsidRPr="000D2664">
              <w:rPr>
                <w:rStyle w:val="Odwoanieprzypisudolnego"/>
                <w:rFonts w:ascii="Arial" w:eastAsia="Times New Roman" w:hAnsi="Arial" w:cs="Arial"/>
                <w:color w:val="auto"/>
              </w:rPr>
              <w:footnoteReference w:id="1"/>
            </w:r>
            <w:bookmarkEnd w:id="1"/>
            <w:r w:rsidRPr="000D2664">
              <w:rPr>
                <w:rFonts w:ascii="Arial" w:eastAsia="Times New Roman" w:hAnsi="Arial" w:cs="Arial"/>
                <w:color w:val="auto"/>
              </w:rPr>
              <w:t>. Zgodnie z zaleceniem KE (2003/361/EC) mikroprzedsiębiorstwo to przedsiębiorstwo zatrudniające mniej niż 10 osób oraz którego roczny obrót lub/i roczny bilans nie przekracza 2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bl>
    <w:p w14:paraId="1E4E0186" w14:textId="72C0517A" w:rsidR="00A427A1" w:rsidRPr="000D2664" w:rsidRDefault="00A427A1"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7A1" w:rsidRPr="000D2664" w14:paraId="4B5221D5" w14:textId="77777777" w:rsidTr="009A0531">
        <w:tc>
          <w:tcPr>
            <w:tcW w:w="2482" w:type="dxa"/>
            <w:shd w:val="clear" w:color="auto" w:fill="auto"/>
          </w:tcPr>
          <w:p w14:paraId="319D2E5F"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7608D14B"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b/>
                <w:sz w:val="24"/>
                <w:szCs w:val="24"/>
              </w:rPr>
              <w:t>Liczba wspartych małych przedsiębiorstw</w:t>
            </w:r>
          </w:p>
        </w:tc>
      </w:tr>
      <w:tr w:rsidR="00A427A1" w:rsidRPr="000D2664" w14:paraId="6572E087" w14:textId="77777777" w:rsidTr="009A0531">
        <w:tc>
          <w:tcPr>
            <w:tcW w:w="2482" w:type="dxa"/>
            <w:shd w:val="clear" w:color="auto" w:fill="auto"/>
          </w:tcPr>
          <w:p w14:paraId="28E8BE53"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lastRenderedPageBreak/>
              <w:t>Kod wskaźnika</w:t>
            </w:r>
          </w:p>
        </w:tc>
        <w:tc>
          <w:tcPr>
            <w:tcW w:w="7016" w:type="dxa"/>
            <w:shd w:val="clear" w:color="auto" w:fill="auto"/>
          </w:tcPr>
          <w:p w14:paraId="03DA36BF"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PLRO002</w:t>
            </w:r>
          </w:p>
        </w:tc>
      </w:tr>
      <w:tr w:rsidR="00A427A1" w:rsidRPr="000D2664" w14:paraId="30C34BB8" w14:textId="77777777" w:rsidTr="009A0531">
        <w:tc>
          <w:tcPr>
            <w:tcW w:w="2482" w:type="dxa"/>
            <w:shd w:val="clear" w:color="auto" w:fill="auto"/>
          </w:tcPr>
          <w:p w14:paraId="031C7C27"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76D3A73A"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 xml:space="preserve">szt. </w:t>
            </w:r>
          </w:p>
        </w:tc>
      </w:tr>
      <w:tr w:rsidR="00A427A1" w:rsidRPr="000D2664" w14:paraId="139CE27C" w14:textId="77777777" w:rsidTr="009A0531">
        <w:tc>
          <w:tcPr>
            <w:tcW w:w="2482" w:type="dxa"/>
            <w:shd w:val="clear" w:color="auto" w:fill="auto"/>
          </w:tcPr>
          <w:p w14:paraId="4F3C8EC3" w14:textId="77777777" w:rsidR="00A427A1" w:rsidRPr="000D2664" w:rsidRDefault="00A427A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613D9C2A"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Produkt (obowiązkowy)</w:t>
            </w:r>
          </w:p>
        </w:tc>
      </w:tr>
      <w:tr w:rsidR="00A427A1" w:rsidRPr="000D2664" w14:paraId="3C5C8821" w14:textId="77777777" w:rsidTr="009A0531">
        <w:tc>
          <w:tcPr>
            <w:tcW w:w="2482" w:type="dxa"/>
            <w:tcBorders>
              <w:bottom w:val="single" w:sz="4" w:space="0" w:color="auto"/>
            </w:tcBorders>
            <w:shd w:val="clear" w:color="auto" w:fill="auto"/>
          </w:tcPr>
          <w:p w14:paraId="04A95FC1" w14:textId="77777777" w:rsidR="00A427A1" w:rsidRPr="000D2664" w:rsidRDefault="00A427A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70CB2522" w14:textId="4906C3ED" w:rsidR="00A427A1" w:rsidRPr="000D2664" w:rsidRDefault="00D17B98"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Wskaźnik obejmuje małe przedsiębiorstwa, które otrzymały wsparcie finansowe oraz pozafinansowe z Europejskiego Fundu</w:t>
            </w:r>
            <w:r w:rsidR="00DA0D1B" w:rsidRPr="000D2664">
              <w:rPr>
                <w:rFonts w:ascii="Arial" w:eastAsia="Times New Roman" w:hAnsi="Arial" w:cs="Arial"/>
                <w:color w:val="auto"/>
              </w:rPr>
              <w:t>szu Rozwoju Regionalnego (EFRR)</w:t>
            </w:r>
            <w:r w:rsidRPr="000D2664">
              <w:rPr>
                <w:rFonts w:ascii="Arial" w:eastAsia="Times New Roman" w:hAnsi="Arial" w:cs="Arial"/>
                <w:color w:val="auto"/>
              </w:rPr>
              <w:t>, Funduszu Spójności (FS) oraz Funduszu Sprawiedliwej Transformacji (FST). Definicja przedsiębiorstwa zgodna z definicją wskaźnika RCO 01</w:t>
            </w:r>
            <w:r w:rsidR="009670F3" w:rsidRPr="000D2664">
              <w:rPr>
                <w:rFonts w:ascii="Arial" w:eastAsia="Times New Roman" w:hAnsi="Arial" w:cs="Arial"/>
                <w:color w:val="auto"/>
              </w:rPr>
              <w:fldChar w:fldCharType="begin"/>
            </w:r>
            <w:r w:rsidR="009670F3" w:rsidRPr="000D2664">
              <w:rPr>
                <w:rFonts w:ascii="Arial" w:eastAsia="Times New Roman" w:hAnsi="Arial" w:cs="Arial"/>
                <w:color w:val="auto"/>
              </w:rPr>
              <w:instrText xml:space="preserve"> NOTEREF _Ref131069050 \f \h </w:instrText>
            </w:r>
            <w:r w:rsidR="00663785" w:rsidRPr="000D2664">
              <w:rPr>
                <w:rFonts w:ascii="Arial" w:eastAsia="Times New Roman" w:hAnsi="Arial" w:cs="Arial"/>
                <w:color w:val="auto"/>
              </w:rPr>
              <w:instrText xml:space="preserve"> \* MERGEFORMAT </w:instrText>
            </w:r>
            <w:r w:rsidR="009670F3" w:rsidRPr="000D2664">
              <w:rPr>
                <w:rFonts w:ascii="Arial" w:eastAsia="Times New Roman" w:hAnsi="Arial" w:cs="Arial"/>
                <w:color w:val="auto"/>
              </w:rPr>
            </w:r>
            <w:r w:rsidR="009670F3" w:rsidRPr="000D2664">
              <w:rPr>
                <w:rFonts w:ascii="Arial" w:eastAsia="Times New Roman" w:hAnsi="Arial" w:cs="Arial"/>
                <w:color w:val="auto"/>
              </w:rPr>
              <w:fldChar w:fldCharType="separate"/>
            </w:r>
            <w:r w:rsidR="00B64E75" w:rsidRPr="00B64E75">
              <w:rPr>
                <w:rStyle w:val="Odwoanieprzypisudolnego"/>
              </w:rPr>
              <w:t>1</w:t>
            </w:r>
            <w:r w:rsidR="009670F3" w:rsidRPr="000D2664">
              <w:rPr>
                <w:rFonts w:ascii="Arial" w:eastAsia="Times New Roman" w:hAnsi="Arial" w:cs="Arial"/>
                <w:color w:val="auto"/>
              </w:rPr>
              <w:fldChar w:fldCharType="end"/>
            </w:r>
            <w:r w:rsidRPr="000D2664">
              <w:rPr>
                <w:rFonts w:ascii="Arial" w:eastAsia="Times New Roman" w:hAnsi="Arial" w:cs="Arial"/>
                <w:color w:val="auto"/>
              </w:rPr>
              <w:t>. Zgodnie z zaleceniem KE (2003/361/EC) małe przedsiębiorstwo to przedsiębiorstwo zatrudniające mniej niż 50 osób oraz którego roczny obrót lub/i roczny bilans nie przekracza 10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bl>
    <w:p w14:paraId="44DF40B7" w14:textId="77777777" w:rsidR="00A427A1" w:rsidRPr="000D2664" w:rsidRDefault="00A427A1"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7A1" w:rsidRPr="000D2664" w14:paraId="6E08C19D" w14:textId="77777777" w:rsidTr="009A0531">
        <w:tc>
          <w:tcPr>
            <w:tcW w:w="2482" w:type="dxa"/>
            <w:shd w:val="clear" w:color="auto" w:fill="auto"/>
          </w:tcPr>
          <w:p w14:paraId="43C28772"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18D2E786"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b/>
                <w:sz w:val="24"/>
                <w:szCs w:val="24"/>
              </w:rPr>
              <w:t>Liczba wspartych średnich przedsiębiorstw</w:t>
            </w:r>
          </w:p>
        </w:tc>
      </w:tr>
      <w:tr w:rsidR="00A427A1" w:rsidRPr="000D2664" w14:paraId="4ED35263" w14:textId="77777777" w:rsidTr="009A0531">
        <w:tc>
          <w:tcPr>
            <w:tcW w:w="2482" w:type="dxa"/>
            <w:shd w:val="clear" w:color="auto" w:fill="auto"/>
          </w:tcPr>
          <w:p w14:paraId="60F89E3E"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CDB9441"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PLRO003</w:t>
            </w:r>
          </w:p>
        </w:tc>
      </w:tr>
      <w:tr w:rsidR="00A427A1" w:rsidRPr="000D2664" w14:paraId="414ABC55" w14:textId="77777777" w:rsidTr="009A0531">
        <w:tc>
          <w:tcPr>
            <w:tcW w:w="2482" w:type="dxa"/>
            <w:shd w:val="clear" w:color="auto" w:fill="auto"/>
          </w:tcPr>
          <w:p w14:paraId="1C0C7277"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248FF22F"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 xml:space="preserve">szt. </w:t>
            </w:r>
          </w:p>
        </w:tc>
      </w:tr>
      <w:tr w:rsidR="00A427A1" w:rsidRPr="000D2664" w14:paraId="5F3A63F5" w14:textId="77777777" w:rsidTr="009A0531">
        <w:tc>
          <w:tcPr>
            <w:tcW w:w="2482" w:type="dxa"/>
            <w:shd w:val="clear" w:color="auto" w:fill="auto"/>
          </w:tcPr>
          <w:p w14:paraId="6B27D8C0" w14:textId="77777777" w:rsidR="00A427A1" w:rsidRPr="000D2664" w:rsidRDefault="00A427A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72B32FB7"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Produkt (obowiązkowy)</w:t>
            </w:r>
          </w:p>
        </w:tc>
      </w:tr>
      <w:tr w:rsidR="00A427A1" w:rsidRPr="000D2664" w14:paraId="0149F0E4" w14:textId="77777777" w:rsidTr="009A0531">
        <w:tc>
          <w:tcPr>
            <w:tcW w:w="2482" w:type="dxa"/>
            <w:tcBorders>
              <w:bottom w:val="single" w:sz="4" w:space="0" w:color="auto"/>
            </w:tcBorders>
            <w:shd w:val="clear" w:color="auto" w:fill="auto"/>
          </w:tcPr>
          <w:p w14:paraId="5E199E2C" w14:textId="77777777" w:rsidR="00A427A1" w:rsidRPr="000D2664" w:rsidRDefault="00A427A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17D5D49B" w14:textId="7AF92B4E" w:rsidR="00A427A1" w:rsidRPr="000D2664" w:rsidRDefault="00D17B98"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Wskaźnik obejmuje średnie przedsiębiorstwa, które otrzymały wsparcie finansowe oraz pozafinansowe z Europejskiego Fundu</w:t>
            </w:r>
            <w:r w:rsidR="00DA0D1B" w:rsidRPr="000D2664">
              <w:rPr>
                <w:rFonts w:ascii="Arial" w:eastAsia="Times New Roman" w:hAnsi="Arial" w:cs="Arial"/>
                <w:color w:val="auto"/>
              </w:rPr>
              <w:t>szu Rozwoju Regionalnego (EFRR)</w:t>
            </w:r>
            <w:r w:rsidRPr="000D2664">
              <w:rPr>
                <w:rFonts w:ascii="Arial" w:eastAsia="Times New Roman" w:hAnsi="Arial" w:cs="Arial"/>
                <w:color w:val="auto"/>
              </w:rPr>
              <w:t>, Funduszu Spójności (FS) oraz Funduszu Sprawiedliwej Transformacji (FST). Definicja przedsiębiorstwa zgodna z definicją wskaźnika RCO 01</w:t>
            </w:r>
            <w:r w:rsidR="009670F3" w:rsidRPr="000D2664">
              <w:rPr>
                <w:rFonts w:ascii="Arial" w:eastAsia="Times New Roman" w:hAnsi="Arial" w:cs="Arial"/>
                <w:color w:val="auto"/>
              </w:rPr>
              <w:fldChar w:fldCharType="begin"/>
            </w:r>
            <w:r w:rsidR="009670F3" w:rsidRPr="000D2664">
              <w:rPr>
                <w:rFonts w:ascii="Arial" w:eastAsia="Times New Roman" w:hAnsi="Arial" w:cs="Arial"/>
                <w:color w:val="auto"/>
              </w:rPr>
              <w:instrText xml:space="preserve"> NOTEREF _Ref131069050 \f \h </w:instrText>
            </w:r>
            <w:r w:rsidR="00663785" w:rsidRPr="000D2664">
              <w:rPr>
                <w:rFonts w:ascii="Arial" w:eastAsia="Times New Roman" w:hAnsi="Arial" w:cs="Arial"/>
                <w:color w:val="auto"/>
              </w:rPr>
              <w:instrText xml:space="preserve"> \* MERGEFORMAT </w:instrText>
            </w:r>
            <w:r w:rsidR="009670F3" w:rsidRPr="000D2664">
              <w:rPr>
                <w:rFonts w:ascii="Arial" w:eastAsia="Times New Roman" w:hAnsi="Arial" w:cs="Arial"/>
                <w:color w:val="auto"/>
              </w:rPr>
            </w:r>
            <w:r w:rsidR="009670F3" w:rsidRPr="000D2664">
              <w:rPr>
                <w:rFonts w:ascii="Arial" w:eastAsia="Times New Roman" w:hAnsi="Arial" w:cs="Arial"/>
                <w:color w:val="auto"/>
              </w:rPr>
              <w:fldChar w:fldCharType="separate"/>
            </w:r>
            <w:r w:rsidR="00B64E75" w:rsidRPr="00B64E75">
              <w:rPr>
                <w:rStyle w:val="Odwoanieprzypisudolnego"/>
              </w:rPr>
              <w:t>1</w:t>
            </w:r>
            <w:r w:rsidR="009670F3" w:rsidRPr="000D2664">
              <w:rPr>
                <w:rFonts w:ascii="Arial" w:eastAsia="Times New Roman" w:hAnsi="Arial" w:cs="Arial"/>
                <w:color w:val="auto"/>
              </w:rPr>
              <w:fldChar w:fldCharType="end"/>
            </w:r>
            <w:r w:rsidRPr="000D2664">
              <w:rPr>
                <w:rFonts w:ascii="Arial" w:eastAsia="Times New Roman" w:hAnsi="Arial" w:cs="Arial"/>
                <w:color w:val="auto"/>
              </w:rPr>
              <w:t>. Zgodnie z zaleceniem KE (2003/361/EC) średnie przedsiębiorstwo to przedsiębiorstwo zatrudniające od 50 do 249 osób oraz którego roczny obrót wynosi nie przekracza 50 mln EUR lub/i roczny bilans nie przekracza</w:t>
            </w:r>
            <w:r w:rsidR="005C78CB" w:rsidRPr="000D2664">
              <w:rPr>
                <w:rFonts w:ascii="Arial" w:eastAsia="Times New Roman" w:hAnsi="Arial" w:cs="Arial"/>
                <w:color w:val="auto"/>
              </w:rPr>
              <w:t xml:space="preserve"> </w:t>
            </w:r>
            <w:r w:rsidRPr="000D2664">
              <w:rPr>
                <w:rFonts w:ascii="Arial" w:eastAsia="Times New Roman" w:hAnsi="Arial" w:cs="Arial"/>
                <w:color w:val="auto"/>
              </w:rPr>
              <w:t>43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bl>
    <w:p w14:paraId="0CAAFF3F" w14:textId="77777777" w:rsidR="00D24D94" w:rsidRPr="000D2664" w:rsidRDefault="00D24D94"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7A1" w:rsidRPr="000D2664" w14:paraId="15C9B685" w14:textId="77777777" w:rsidTr="009A0531">
        <w:tc>
          <w:tcPr>
            <w:tcW w:w="2482" w:type="dxa"/>
            <w:shd w:val="clear" w:color="auto" w:fill="auto"/>
          </w:tcPr>
          <w:p w14:paraId="170ED202"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2E9B4598" w14:textId="77777777" w:rsidR="00A427A1" w:rsidRPr="000D2664" w:rsidRDefault="00A427A1" w:rsidP="00983F14">
            <w:pPr>
              <w:spacing w:after="0" w:line="276" w:lineRule="auto"/>
              <w:rPr>
                <w:rFonts w:ascii="Arial" w:hAnsi="Arial" w:cs="Arial"/>
                <w:b/>
                <w:sz w:val="24"/>
                <w:szCs w:val="24"/>
              </w:rPr>
            </w:pPr>
            <w:r w:rsidRPr="000D2664">
              <w:rPr>
                <w:rFonts w:ascii="Arial" w:hAnsi="Arial" w:cs="Arial"/>
                <w:b/>
                <w:sz w:val="24"/>
                <w:szCs w:val="24"/>
              </w:rPr>
              <w:t>Liczba wspartych dużych przedsiębiorstw</w:t>
            </w:r>
          </w:p>
        </w:tc>
      </w:tr>
      <w:tr w:rsidR="00A427A1" w:rsidRPr="000D2664" w14:paraId="50D31212" w14:textId="77777777" w:rsidTr="009A0531">
        <w:tc>
          <w:tcPr>
            <w:tcW w:w="2482" w:type="dxa"/>
            <w:shd w:val="clear" w:color="auto" w:fill="auto"/>
          </w:tcPr>
          <w:p w14:paraId="766BC36C"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1F350A26"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PLRO004</w:t>
            </w:r>
          </w:p>
        </w:tc>
      </w:tr>
      <w:tr w:rsidR="00A427A1" w:rsidRPr="000D2664" w14:paraId="0341BD35" w14:textId="77777777" w:rsidTr="009A0531">
        <w:tc>
          <w:tcPr>
            <w:tcW w:w="2482" w:type="dxa"/>
            <w:shd w:val="clear" w:color="auto" w:fill="auto"/>
          </w:tcPr>
          <w:p w14:paraId="4C691434"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7638FCA8"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 xml:space="preserve">szt. </w:t>
            </w:r>
          </w:p>
        </w:tc>
      </w:tr>
      <w:tr w:rsidR="00A427A1" w:rsidRPr="000D2664" w14:paraId="6A6D6B83" w14:textId="77777777" w:rsidTr="009A0531">
        <w:tc>
          <w:tcPr>
            <w:tcW w:w="2482" w:type="dxa"/>
            <w:shd w:val="clear" w:color="auto" w:fill="auto"/>
          </w:tcPr>
          <w:p w14:paraId="0C045D9E" w14:textId="77777777" w:rsidR="00A427A1" w:rsidRPr="000D2664" w:rsidRDefault="00A427A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1E883531" w14:textId="77777777" w:rsidR="00A427A1" w:rsidRPr="000D2664" w:rsidRDefault="00A427A1" w:rsidP="00983F14">
            <w:pPr>
              <w:spacing w:after="0" w:line="276" w:lineRule="auto"/>
              <w:rPr>
                <w:rFonts w:ascii="Arial" w:hAnsi="Arial" w:cs="Arial"/>
                <w:sz w:val="24"/>
                <w:szCs w:val="24"/>
              </w:rPr>
            </w:pPr>
            <w:r w:rsidRPr="000D2664">
              <w:rPr>
                <w:rFonts w:ascii="Arial" w:hAnsi="Arial" w:cs="Arial"/>
                <w:sz w:val="24"/>
                <w:szCs w:val="24"/>
              </w:rPr>
              <w:t>Produkt (obowiązkowy)</w:t>
            </w:r>
          </w:p>
        </w:tc>
      </w:tr>
      <w:tr w:rsidR="00A427A1" w:rsidRPr="000D2664" w14:paraId="1D18A8D2" w14:textId="77777777" w:rsidTr="009A0531">
        <w:tc>
          <w:tcPr>
            <w:tcW w:w="2482" w:type="dxa"/>
            <w:tcBorders>
              <w:bottom w:val="single" w:sz="4" w:space="0" w:color="auto"/>
            </w:tcBorders>
            <w:shd w:val="clear" w:color="auto" w:fill="auto"/>
          </w:tcPr>
          <w:p w14:paraId="02C25F91" w14:textId="77777777" w:rsidR="00A427A1" w:rsidRPr="000D2664" w:rsidRDefault="00A427A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75D8E6BC" w14:textId="32E086CC" w:rsidR="00A427A1" w:rsidRPr="000D2664" w:rsidRDefault="00D17B98"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Wskaźnik obejmuje duże przedsiębiorstwa, które otrzymały wsparcie finansowe oraz pozafinansowe z Europejskiego Fundu</w:t>
            </w:r>
            <w:r w:rsidR="00DA0D1B" w:rsidRPr="000D2664">
              <w:rPr>
                <w:rFonts w:ascii="Arial" w:eastAsia="Times New Roman" w:hAnsi="Arial" w:cs="Arial"/>
                <w:color w:val="auto"/>
              </w:rPr>
              <w:t>szu Rozwoju Regionalnego (EFRR)</w:t>
            </w:r>
            <w:r w:rsidRPr="000D2664">
              <w:rPr>
                <w:rFonts w:ascii="Arial" w:eastAsia="Times New Roman" w:hAnsi="Arial" w:cs="Arial"/>
                <w:color w:val="auto"/>
              </w:rPr>
              <w:t xml:space="preserve">, Funduszu Spójności </w:t>
            </w:r>
            <w:r w:rsidRPr="000D2664">
              <w:rPr>
                <w:rFonts w:ascii="Arial" w:eastAsia="Times New Roman" w:hAnsi="Arial" w:cs="Arial"/>
                <w:color w:val="auto"/>
              </w:rPr>
              <w:lastRenderedPageBreak/>
              <w:t>(FS) oraz Funduszu Sprawiedliwej Transformacji (FST). Definicja przedsiębiorstwa zgodna z definicją wskaźnika RCO 01</w:t>
            </w:r>
            <w:r w:rsidR="009670F3" w:rsidRPr="000D2664">
              <w:rPr>
                <w:rFonts w:ascii="Arial" w:eastAsia="Times New Roman" w:hAnsi="Arial" w:cs="Arial"/>
                <w:color w:val="auto"/>
              </w:rPr>
              <w:fldChar w:fldCharType="begin"/>
            </w:r>
            <w:r w:rsidR="009670F3" w:rsidRPr="000D2664">
              <w:rPr>
                <w:rFonts w:ascii="Arial" w:eastAsia="Times New Roman" w:hAnsi="Arial" w:cs="Arial"/>
                <w:color w:val="auto"/>
              </w:rPr>
              <w:instrText xml:space="preserve"> NOTEREF _Ref131069050 \f \h </w:instrText>
            </w:r>
            <w:r w:rsidR="00663785" w:rsidRPr="000D2664">
              <w:rPr>
                <w:rFonts w:ascii="Arial" w:eastAsia="Times New Roman" w:hAnsi="Arial" w:cs="Arial"/>
                <w:color w:val="auto"/>
              </w:rPr>
              <w:instrText xml:space="preserve"> \* MERGEFORMAT </w:instrText>
            </w:r>
            <w:r w:rsidR="009670F3" w:rsidRPr="000D2664">
              <w:rPr>
                <w:rFonts w:ascii="Arial" w:eastAsia="Times New Roman" w:hAnsi="Arial" w:cs="Arial"/>
                <w:color w:val="auto"/>
              </w:rPr>
            </w:r>
            <w:r w:rsidR="009670F3" w:rsidRPr="000D2664">
              <w:rPr>
                <w:rFonts w:ascii="Arial" w:eastAsia="Times New Roman" w:hAnsi="Arial" w:cs="Arial"/>
                <w:color w:val="auto"/>
              </w:rPr>
              <w:fldChar w:fldCharType="separate"/>
            </w:r>
            <w:r w:rsidR="00B64E75" w:rsidRPr="00B64E75">
              <w:rPr>
                <w:rStyle w:val="Odwoanieprzypisudolnego"/>
              </w:rPr>
              <w:t>1</w:t>
            </w:r>
            <w:r w:rsidR="009670F3" w:rsidRPr="000D2664">
              <w:rPr>
                <w:rFonts w:ascii="Arial" w:eastAsia="Times New Roman" w:hAnsi="Arial" w:cs="Arial"/>
                <w:color w:val="auto"/>
              </w:rPr>
              <w:fldChar w:fldCharType="end"/>
            </w:r>
            <w:r w:rsidRPr="000D2664">
              <w:rPr>
                <w:rFonts w:ascii="Arial" w:eastAsia="Times New Roman" w:hAnsi="Arial" w:cs="Arial"/>
                <w:color w:val="auto"/>
              </w:rPr>
              <w:t>. Duże przedsiębiorstwo to przedsiębiorstwo zatrudniające co najmniej j 250 osób oraz którego roczny obrót wynosi powyżej 50 mln EUR lub roczny bilans wynosi powyżej 43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bl>
    <w:p w14:paraId="561147B2" w14:textId="77777777" w:rsidR="00A427A1" w:rsidRDefault="00A427A1"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917AF1" w:rsidRPr="000D2664" w14:paraId="3CCBB471" w14:textId="77777777" w:rsidTr="00030D64">
        <w:tc>
          <w:tcPr>
            <w:tcW w:w="2482" w:type="dxa"/>
            <w:shd w:val="clear" w:color="auto" w:fill="auto"/>
          </w:tcPr>
          <w:p w14:paraId="6FF85579" w14:textId="77777777" w:rsidR="00917AF1" w:rsidRPr="000D2664" w:rsidRDefault="00917AF1"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24F3ECAF" w14:textId="4F26B7C9" w:rsidR="00917AF1" w:rsidRPr="000D2664" w:rsidRDefault="00175C88" w:rsidP="00983F14">
            <w:pPr>
              <w:spacing w:after="0" w:line="276" w:lineRule="auto"/>
              <w:rPr>
                <w:rFonts w:ascii="Arial" w:hAnsi="Arial" w:cs="Arial"/>
                <w:b/>
                <w:sz w:val="24"/>
                <w:szCs w:val="24"/>
              </w:rPr>
            </w:pPr>
            <w:r w:rsidRPr="00175C88">
              <w:rPr>
                <w:rFonts w:ascii="Arial" w:hAnsi="Arial" w:cs="Arial"/>
                <w:b/>
                <w:sz w:val="24"/>
                <w:szCs w:val="24"/>
              </w:rPr>
              <w:t>Przedsiębiorstwa otrzymujące wsparcie niefinansowe</w:t>
            </w:r>
          </w:p>
        </w:tc>
      </w:tr>
      <w:tr w:rsidR="00917AF1" w:rsidRPr="000D2664" w14:paraId="09404FC1" w14:textId="77777777" w:rsidTr="00030D64">
        <w:tc>
          <w:tcPr>
            <w:tcW w:w="2482" w:type="dxa"/>
            <w:shd w:val="clear" w:color="auto" w:fill="auto"/>
          </w:tcPr>
          <w:p w14:paraId="6DD615BC" w14:textId="77777777" w:rsidR="00917AF1" w:rsidRPr="000D2664" w:rsidRDefault="00917AF1"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490CC076" w14:textId="5AA7E644" w:rsidR="00917AF1" w:rsidRPr="000D2664" w:rsidRDefault="00175C88" w:rsidP="00983F14">
            <w:pPr>
              <w:spacing w:after="0" w:line="276" w:lineRule="auto"/>
              <w:rPr>
                <w:rFonts w:ascii="Arial" w:hAnsi="Arial" w:cs="Arial"/>
                <w:sz w:val="24"/>
                <w:szCs w:val="24"/>
              </w:rPr>
            </w:pPr>
            <w:r w:rsidRPr="00175C88">
              <w:rPr>
                <w:rFonts w:ascii="Arial" w:hAnsi="Arial" w:cs="Arial"/>
                <w:sz w:val="24"/>
                <w:szCs w:val="24"/>
              </w:rPr>
              <w:t>RCO004</w:t>
            </w:r>
          </w:p>
        </w:tc>
      </w:tr>
      <w:tr w:rsidR="00917AF1" w:rsidRPr="000D2664" w14:paraId="5C708232" w14:textId="77777777" w:rsidTr="00030D64">
        <w:tc>
          <w:tcPr>
            <w:tcW w:w="2482" w:type="dxa"/>
            <w:shd w:val="clear" w:color="auto" w:fill="auto"/>
          </w:tcPr>
          <w:p w14:paraId="03404D46" w14:textId="77777777" w:rsidR="00917AF1" w:rsidRPr="000D2664" w:rsidRDefault="00917AF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54E125B5" w14:textId="77777777" w:rsidR="00917AF1" w:rsidRPr="000D2664" w:rsidRDefault="001D3ADB" w:rsidP="00983F14">
            <w:pPr>
              <w:spacing w:after="0" w:line="276" w:lineRule="auto"/>
              <w:rPr>
                <w:rFonts w:ascii="Arial" w:hAnsi="Arial" w:cs="Arial"/>
                <w:sz w:val="24"/>
                <w:szCs w:val="24"/>
              </w:rPr>
            </w:pPr>
            <w:r>
              <w:rPr>
                <w:rFonts w:ascii="Arial" w:hAnsi="Arial" w:cs="Arial"/>
                <w:sz w:val="24"/>
                <w:szCs w:val="24"/>
              </w:rPr>
              <w:t>przedsiębiorstwa</w:t>
            </w:r>
          </w:p>
        </w:tc>
      </w:tr>
      <w:tr w:rsidR="00917AF1" w:rsidRPr="000D2664" w14:paraId="4045BCE0" w14:textId="77777777" w:rsidTr="00030D64">
        <w:tc>
          <w:tcPr>
            <w:tcW w:w="2482" w:type="dxa"/>
            <w:shd w:val="clear" w:color="auto" w:fill="auto"/>
          </w:tcPr>
          <w:p w14:paraId="633FA927" w14:textId="77777777" w:rsidR="00917AF1" w:rsidRPr="000D2664" w:rsidRDefault="00917AF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1C493A13" w14:textId="77777777" w:rsidR="00917AF1" w:rsidRPr="000D2664" w:rsidRDefault="00917AF1" w:rsidP="00983F14">
            <w:pPr>
              <w:spacing w:after="0" w:line="276" w:lineRule="auto"/>
              <w:rPr>
                <w:rFonts w:ascii="Arial" w:hAnsi="Arial" w:cs="Arial"/>
                <w:sz w:val="24"/>
                <w:szCs w:val="24"/>
              </w:rPr>
            </w:pPr>
            <w:r w:rsidRPr="000D2664">
              <w:rPr>
                <w:rFonts w:ascii="Arial" w:hAnsi="Arial" w:cs="Arial"/>
                <w:sz w:val="24"/>
                <w:szCs w:val="24"/>
              </w:rPr>
              <w:t>Produkt (obowiązkowy)</w:t>
            </w:r>
          </w:p>
        </w:tc>
      </w:tr>
      <w:tr w:rsidR="00917AF1" w:rsidRPr="000D2664" w14:paraId="4F8B9E05" w14:textId="77777777" w:rsidTr="00030D64">
        <w:tc>
          <w:tcPr>
            <w:tcW w:w="2482" w:type="dxa"/>
            <w:tcBorders>
              <w:bottom w:val="single" w:sz="4" w:space="0" w:color="auto"/>
            </w:tcBorders>
            <w:shd w:val="clear" w:color="auto" w:fill="auto"/>
          </w:tcPr>
          <w:p w14:paraId="4E6BAC46" w14:textId="77777777" w:rsidR="00917AF1" w:rsidRPr="000D2664" w:rsidRDefault="00917AF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13BCDD89" w14:textId="69096FE3" w:rsidR="00917AF1" w:rsidRPr="000D2664" w:rsidRDefault="00175C88" w:rsidP="00983F14">
            <w:pPr>
              <w:pStyle w:val="Default"/>
              <w:spacing w:line="276" w:lineRule="auto"/>
              <w:rPr>
                <w:rFonts w:ascii="Arial" w:eastAsia="Times New Roman" w:hAnsi="Arial" w:cs="Arial"/>
                <w:color w:val="auto"/>
              </w:rPr>
            </w:pPr>
            <w:r w:rsidRPr="00175C88">
              <w:rPr>
                <w:rFonts w:ascii="Arial" w:eastAsia="Times New Roman" w:hAnsi="Arial" w:cs="Arial"/>
                <w:color w:val="auto"/>
              </w:rPr>
              <w:t xml:space="preserve">Liczba przedsiębiorstw otrzymujących wsparcie niefinansowe. Przedsiębiorstwa są uwzględniane we wskaźniku, jeśli otrzymują wsparcie niefinansowe w sposób ustrukturyzowany, jak np. MŚP korzystające z usług inkubatora przedsiębiorczości. Udzielone wsparcie musi być udokumentowane. Nie uwzględnia się jednorazowych interakcji (np. rozmowy telefoniczne w celu uzyskania informacji). Przykłady wsparcia niefinansowego obejmują usługi takie jak (niewyczerpujący wykaz): usługi doradcze (pomoc na doradztwo i szkolenia w zakresie wymiany wiedzy i doświadczeń itp.) lub usługi wsparcia (udostępnienie powierzchni biurowej, stron internetowych, banków danych, bibliotek, badań rynkowych, podręczników, dokumentów </w:t>
            </w:r>
            <w:r>
              <w:rPr>
                <w:rFonts w:ascii="Arial" w:eastAsia="Times New Roman" w:hAnsi="Arial" w:cs="Arial"/>
                <w:color w:val="auto"/>
              </w:rPr>
              <w:t xml:space="preserve">roboczych i wzorcowych itp.). </w:t>
            </w:r>
            <w:r w:rsidRPr="00175C88">
              <w:rPr>
                <w:rFonts w:ascii="Arial" w:eastAsia="Times New Roman" w:hAnsi="Arial" w:cs="Arial"/>
                <w:color w:val="auto"/>
              </w:rPr>
              <w:t>Definicja przedsiębiorstwa znajduje się w RCO01.</w:t>
            </w:r>
          </w:p>
        </w:tc>
      </w:tr>
    </w:tbl>
    <w:p w14:paraId="31756480" w14:textId="450BF9C7" w:rsidR="007E00B8" w:rsidRDefault="007E00B8"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F20EFD" w:rsidRPr="000D2664" w14:paraId="0CABFDBA" w14:textId="77777777" w:rsidTr="00CE7C98">
        <w:tc>
          <w:tcPr>
            <w:tcW w:w="2482" w:type="dxa"/>
            <w:shd w:val="clear" w:color="auto" w:fill="auto"/>
          </w:tcPr>
          <w:p w14:paraId="793A863B" w14:textId="77777777" w:rsidR="00F20EFD" w:rsidRPr="000D2664" w:rsidRDefault="00F20EFD" w:rsidP="00CE7C98">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553C7D9E" w14:textId="77777777" w:rsidR="00F20EFD" w:rsidRPr="00994A50" w:rsidRDefault="00F20EFD" w:rsidP="00CE7C98">
            <w:pPr>
              <w:spacing w:after="0" w:line="276" w:lineRule="auto"/>
              <w:rPr>
                <w:rFonts w:ascii="Arial" w:hAnsi="Arial" w:cs="Arial"/>
                <w:b/>
                <w:sz w:val="24"/>
                <w:szCs w:val="24"/>
              </w:rPr>
            </w:pPr>
            <w:r w:rsidRPr="00994A50">
              <w:rPr>
                <w:rFonts w:ascii="Arial" w:hAnsi="Arial" w:cs="Arial"/>
                <w:b/>
                <w:color w:val="000000" w:themeColor="text1"/>
                <w:sz w:val="24"/>
                <w:szCs w:val="24"/>
              </w:rPr>
              <w:t>MŚP inwestujące w umiejętności w zakresie inteligentnej specjalizacji, transformacji przemysłowej i przedsiębiorczości</w:t>
            </w:r>
          </w:p>
        </w:tc>
      </w:tr>
      <w:tr w:rsidR="00F20EFD" w:rsidRPr="000D2664" w14:paraId="1927F94B" w14:textId="77777777" w:rsidTr="00CE7C98">
        <w:tc>
          <w:tcPr>
            <w:tcW w:w="2482" w:type="dxa"/>
            <w:shd w:val="clear" w:color="auto" w:fill="auto"/>
          </w:tcPr>
          <w:p w14:paraId="3D318E8E" w14:textId="77777777" w:rsidR="00F20EFD" w:rsidRPr="000D2664" w:rsidRDefault="00F20EFD" w:rsidP="00CE7C98">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136AA17" w14:textId="77777777" w:rsidR="00F20EFD" w:rsidRPr="000D2664" w:rsidRDefault="00F20EFD" w:rsidP="00CE7C98">
            <w:pPr>
              <w:spacing w:after="0" w:line="276" w:lineRule="auto"/>
              <w:rPr>
                <w:rFonts w:ascii="Arial" w:hAnsi="Arial" w:cs="Arial"/>
                <w:sz w:val="24"/>
                <w:szCs w:val="24"/>
              </w:rPr>
            </w:pPr>
            <w:r w:rsidRPr="001E615F">
              <w:rPr>
                <w:rFonts w:ascii="Arial" w:hAnsi="Arial" w:cs="Arial"/>
                <w:sz w:val="24"/>
                <w:szCs w:val="24"/>
              </w:rPr>
              <w:t>RCO101</w:t>
            </w:r>
          </w:p>
        </w:tc>
      </w:tr>
      <w:tr w:rsidR="00F20EFD" w:rsidRPr="000D2664" w14:paraId="12172A02" w14:textId="77777777" w:rsidTr="00CE7C98">
        <w:tc>
          <w:tcPr>
            <w:tcW w:w="2482" w:type="dxa"/>
            <w:shd w:val="clear" w:color="auto" w:fill="auto"/>
          </w:tcPr>
          <w:p w14:paraId="2D9369EB" w14:textId="77777777" w:rsidR="00F20EFD" w:rsidRPr="000D2664" w:rsidRDefault="00F20EFD" w:rsidP="00CE7C98">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0B5334A4" w14:textId="77777777" w:rsidR="00F20EFD" w:rsidRPr="000D2664" w:rsidRDefault="00F20EFD" w:rsidP="00CE7C98">
            <w:pPr>
              <w:spacing w:after="0" w:line="276" w:lineRule="auto"/>
              <w:rPr>
                <w:rFonts w:ascii="Arial" w:hAnsi="Arial" w:cs="Arial"/>
                <w:sz w:val="24"/>
                <w:szCs w:val="24"/>
              </w:rPr>
            </w:pPr>
            <w:r>
              <w:rPr>
                <w:rFonts w:ascii="Arial" w:hAnsi="Arial" w:cs="Arial"/>
                <w:sz w:val="24"/>
                <w:szCs w:val="24"/>
              </w:rPr>
              <w:t>szt.</w:t>
            </w:r>
          </w:p>
        </w:tc>
      </w:tr>
      <w:tr w:rsidR="00F20EFD" w:rsidRPr="000D2664" w14:paraId="40A1A009" w14:textId="77777777" w:rsidTr="00CE7C98">
        <w:tc>
          <w:tcPr>
            <w:tcW w:w="2482" w:type="dxa"/>
            <w:shd w:val="clear" w:color="auto" w:fill="auto"/>
          </w:tcPr>
          <w:p w14:paraId="1DB34B92" w14:textId="77777777" w:rsidR="00F20EFD" w:rsidRPr="000D2664" w:rsidRDefault="00F20EFD" w:rsidP="00CE7C98">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0266E667" w14:textId="77777777" w:rsidR="00F20EFD" w:rsidRPr="000D2664" w:rsidRDefault="00F20EFD" w:rsidP="00CE7C98">
            <w:pPr>
              <w:spacing w:after="0" w:line="276" w:lineRule="auto"/>
              <w:rPr>
                <w:rFonts w:ascii="Arial" w:hAnsi="Arial" w:cs="Arial"/>
                <w:sz w:val="24"/>
                <w:szCs w:val="24"/>
              </w:rPr>
            </w:pPr>
            <w:r w:rsidRPr="000D2664">
              <w:rPr>
                <w:rFonts w:ascii="Arial" w:hAnsi="Arial" w:cs="Arial"/>
                <w:sz w:val="24"/>
                <w:szCs w:val="24"/>
              </w:rPr>
              <w:t>Produkt (obowiązkowy)</w:t>
            </w:r>
          </w:p>
        </w:tc>
      </w:tr>
      <w:tr w:rsidR="00F20EFD" w:rsidRPr="000D2664" w14:paraId="11A792C0" w14:textId="77777777" w:rsidTr="00CE7C98">
        <w:tc>
          <w:tcPr>
            <w:tcW w:w="2482" w:type="dxa"/>
            <w:tcBorders>
              <w:bottom w:val="single" w:sz="4" w:space="0" w:color="auto"/>
            </w:tcBorders>
            <w:shd w:val="clear" w:color="auto" w:fill="auto"/>
          </w:tcPr>
          <w:p w14:paraId="13854FF8" w14:textId="77777777" w:rsidR="00F20EFD" w:rsidRPr="000D2664" w:rsidRDefault="00F20EFD" w:rsidP="00CE7C98">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7C598746" w14:textId="77777777" w:rsidR="00F20EFD" w:rsidRPr="000D2664" w:rsidRDefault="00F20EFD" w:rsidP="00CE7C98">
            <w:pPr>
              <w:pStyle w:val="Default"/>
              <w:spacing w:line="276" w:lineRule="auto"/>
              <w:rPr>
                <w:rFonts w:ascii="Arial" w:eastAsia="Times New Roman" w:hAnsi="Arial" w:cs="Arial"/>
                <w:color w:val="auto"/>
              </w:rPr>
            </w:pPr>
            <w:r w:rsidRPr="000F749C">
              <w:rPr>
                <w:rFonts w:ascii="Arial" w:eastAsia="Times New Roman" w:hAnsi="Arial" w:cs="Arial"/>
                <w:color w:val="auto"/>
              </w:rPr>
              <w:t xml:space="preserve">Liczba MŚP wspieranych w celu inwestowania w umiejętności w zakresie inteligentnej specjalizacji, transformacji przemysłowej i przedsiębiorczości. Rozwój umiejętności w zakresie inteligentnej specjalizacji, transformacji przemysłowej i przedsiębiorczości można osiągnąć na przykład poprzez programy przygotowania zawodowego, ustrukturyzowane umowy dotyczące szkolenia zawodowego i doświadczenia z </w:t>
            </w:r>
            <w:r w:rsidRPr="000F749C">
              <w:rPr>
                <w:rFonts w:ascii="Arial" w:eastAsia="Times New Roman" w:hAnsi="Arial" w:cs="Arial"/>
                <w:color w:val="auto"/>
              </w:rPr>
              <w:lastRenderedPageBreak/>
              <w:t>dostawcami, klientami i konsultantami, ustawiczne kształcenie i szkolenie zawodowe oraz szkolenie formalne.</w:t>
            </w:r>
          </w:p>
        </w:tc>
      </w:tr>
    </w:tbl>
    <w:p w14:paraId="06D54653" w14:textId="4B9661BB" w:rsidR="00F20EFD" w:rsidRDefault="00F20EFD"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C7FAD" w:rsidRPr="000D2664" w14:paraId="5792ED68" w14:textId="77777777" w:rsidTr="00402C28">
        <w:tc>
          <w:tcPr>
            <w:tcW w:w="2482" w:type="dxa"/>
            <w:shd w:val="clear" w:color="auto" w:fill="auto"/>
          </w:tcPr>
          <w:p w14:paraId="63D5BDBF" w14:textId="77777777" w:rsidR="00AC7FAD" w:rsidRPr="000D2664" w:rsidRDefault="00AC7FAD" w:rsidP="00402C28">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19DD3DA7" w14:textId="18BAD780" w:rsidR="00AC7FAD" w:rsidRPr="000D2664" w:rsidRDefault="00AC7FAD" w:rsidP="00402C28">
            <w:pPr>
              <w:spacing w:after="0" w:line="276" w:lineRule="auto"/>
              <w:rPr>
                <w:rFonts w:ascii="Arial" w:hAnsi="Arial" w:cs="Arial"/>
                <w:b/>
                <w:sz w:val="24"/>
                <w:szCs w:val="24"/>
              </w:rPr>
            </w:pPr>
            <w:r w:rsidRPr="00AC7FAD">
              <w:rPr>
                <w:rFonts w:ascii="Arial" w:hAnsi="Arial" w:cs="Arial"/>
                <w:b/>
                <w:sz w:val="24"/>
                <w:szCs w:val="24"/>
              </w:rPr>
              <w:t>Liczba przedsiębiorstw korzystających z usług świadczonych przez regionalne centra transferu wiedzy</w:t>
            </w:r>
          </w:p>
        </w:tc>
      </w:tr>
      <w:tr w:rsidR="00AC7FAD" w:rsidRPr="000D2664" w14:paraId="04D67F1B" w14:textId="77777777" w:rsidTr="00402C28">
        <w:tc>
          <w:tcPr>
            <w:tcW w:w="2482" w:type="dxa"/>
            <w:shd w:val="clear" w:color="auto" w:fill="auto"/>
          </w:tcPr>
          <w:p w14:paraId="3AAAA265" w14:textId="77777777" w:rsidR="00AC7FAD" w:rsidRPr="000D2664" w:rsidRDefault="00AC7FAD" w:rsidP="00402C28">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F24E0F2" w14:textId="34A154C8" w:rsidR="00AC7FAD" w:rsidRPr="000D2664" w:rsidRDefault="00AC7FAD" w:rsidP="00402C28">
            <w:pPr>
              <w:spacing w:after="0" w:line="276" w:lineRule="auto"/>
              <w:rPr>
                <w:rFonts w:ascii="Arial" w:hAnsi="Arial" w:cs="Arial"/>
                <w:sz w:val="24"/>
                <w:szCs w:val="24"/>
              </w:rPr>
            </w:pPr>
            <w:r w:rsidRPr="00AC7FAD">
              <w:rPr>
                <w:rFonts w:ascii="Arial" w:hAnsi="Arial" w:cs="Arial"/>
                <w:sz w:val="24"/>
                <w:szCs w:val="24"/>
              </w:rPr>
              <w:t>PLRR079</w:t>
            </w:r>
          </w:p>
        </w:tc>
      </w:tr>
      <w:tr w:rsidR="00AC7FAD" w:rsidRPr="000D2664" w14:paraId="6E0D1C04" w14:textId="77777777" w:rsidTr="00402C28">
        <w:tc>
          <w:tcPr>
            <w:tcW w:w="2482" w:type="dxa"/>
            <w:shd w:val="clear" w:color="auto" w:fill="auto"/>
          </w:tcPr>
          <w:p w14:paraId="33D6E475" w14:textId="77777777" w:rsidR="00AC7FAD" w:rsidRPr="000D2664" w:rsidRDefault="00AC7FAD" w:rsidP="00402C28">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56073871" w14:textId="4201DDB7" w:rsidR="00AC7FAD" w:rsidRPr="000D2664" w:rsidRDefault="00AC7FAD" w:rsidP="00402C28">
            <w:pPr>
              <w:spacing w:after="0" w:line="276" w:lineRule="auto"/>
              <w:rPr>
                <w:rFonts w:ascii="Arial" w:hAnsi="Arial" w:cs="Arial"/>
                <w:sz w:val="24"/>
                <w:szCs w:val="24"/>
              </w:rPr>
            </w:pPr>
            <w:r>
              <w:rPr>
                <w:rFonts w:ascii="Arial" w:hAnsi="Arial" w:cs="Arial"/>
                <w:sz w:val="24"/>
                <w:szCs w:val="24"/>
              </w:rPr>
              <w:t>szt.</w:t>
            </w:r>
          </w:p>
        </w:tc>
      </w:tr>
      <w:tr w:rsidR="00AC7FAD" w:rsidRPr="000D2664" w14:paraId="33AF82BF" w14:textId="77777777" w:rsidTr="00402C28">
        <w:tc>
          <w:tcPr>
            <w:tcW w:w="2482" w:type="dxa"/>
            <w:shd w:val="clear" w:color="auto" w:fill="auto"/>
          </w:tcPr>
          <w:p w14:paraId="07F8C4E9" w14:textId="77777777" w:rsidR="00AC7FAD" w:rsidRPr="000D2664" w:rsidRDefault="00AC7FAD" w:rsidP="00402C28">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6DA6D112" w14:textId="19B2D3D1" w:rsidR="00AC7FAD" w:rsidRPr="00721224" w:rsidRDefault="00410757" w:rsidP="00402C28">
            <w:pPr>
              <w:spacing w:after="0" w:line="276" w:lineRule="auto"/>
              <w:rPr>
                <w:rFonts w:ascii="Arial" w:hAnsi="Arial" w:cs="Arial"/>
                <w:color w:val="000000" w:themeColor="text1"/>
                <w:sz w:val="24"/>
                <w:szCs w:val="24"/>
              </w:rPr>
            </w:pPr>
            <w:r w:rsidRPr="00721224">
              <w:rPr>
                <w:rFonts w:ascii="Arial" w:hAnsi="Arial" w:cs="Arial"/>
                <w:color w:val="000000" w:themeColor="text1"/>
                <w:sz w:val="24"/>
                <w:szCs w:val="24"/>
              </w:rPr>
              <w:t>Rezultat</w:t>
            </w:r>
            <w:r w:rsidR="00AC7FAD" w:rsidRPr="00721224">
              <w:rPr>
                <w:rFonts w:ascii="Arial" w:hAnsi="Arial" w:cs="Arial"/>
                <w:color w:val="000000" w:themeColor="text1"/>
                <w:sz w:val="24"/>
                <w:szCs w:val="24"/>
              </w:rPr>
              <w:t xml:space="preserve"> (obowiązkowy)</w:t>
            </w:r>
          </w:p>
        </w:tc>
      </w:tr>
      <w:tr w:rsidR="00AC7FAD" w:rsidRPr="000D2664" w14:paraId="22A48BFE" w14:textId="77777777" w:rsidTr="00402C28">
        <w:tc>
          <w:tcPr>
            <w:tcW w:w="2482" w:type="dxa"/>
            <w:tcBorders>
              <w:bottom w:val="single" w:sz="4" w:space="0" w:color="auto"/>
            </w:tcBorders>
            <w:shd w:val="clear" w:color="auto" w:fill="auto"/>
          </w:tcPr>
          <w:p w14:paraId="6F379FBE" w14:textId="77777777" w:rsidR="00AC7FAD" w:rsidRPr="000D2664" w:rsidRDefault="00AC7FAD" w:rsidP="00402C28">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548138B6" w14:textId="77777777" w:rsidR="00AC7FAD" w:rsidRPr="00AC7FAD" w:rsidRDefault="00AC7FAD" w:rsidP="00AC7FAD">
            <w:pPr>
              <w:pStyle w:val="Default"/>
              <w:spacing w:line="276" w:lineRule="auto"/>
              <w:rPr>
                <w:rFonts w:ascii="Arial" w:eastAsia="Times New Roman" w:hAnsi="Arial" w:cs="Arial"/>
                <w:color w:val="auto"/>
              </w:rPr>
            </w:pPr>
            <w:r w:rsidRPr="00AC7FAD">
              <w:rPr>
                <w:rFonts w:ascii="Arial" w:eastAsia="Times New Roman" w:hAnsi="Arial" w:cs="Arial"/>
                <w:color w:val="auto"/>
              </w:rPr>
              <w:t>W ramach wskaźnika mierzona będzie liczba przedsiębiorstw korzystających z usług proinnowacyjnych dostępnych w ramach</w:t>
            </w:r>
          </w:p>
          <w:p w14:paraId="43F82B5E" w14:textId="7C697C4C" w:rsidR="00AC7FAD" w:rsidRPr="000D2664" w:rsidRDefault="00AC7FAD" w:rsidP="00AC7FAD">
            <w:pPr>
              <w:pStyle w:val="Default"/>
              <w:spacing w:line="276" w:lineRule="auto"/>
              <w:rPr>
                <w:rFonts w:ascii="Arial" w:eastAsia="Times New Roman" w:hAnsi="Arial" w:cs="Arial"/>
                <w:color w:val="auto"/>
              </w:rPr>
            </w:pPr>
            <w:r w:rsidRPr="00AC7FAD">
              <w:rPr>
                <w:rFonts w:ascii="Arial" w:eastAsia="Times New Roman" w:hAnsi="Arial" w:cs="Arial"/>
                <w:color w:val="auto"/>
              </w:rPr>
              <w:t>projektu i świadczonych przez regionalne centra transferu wiedzy, rozumiane jako jednostki naukowe oraz akredytowane ośrodki innowacji. W ramach wskaźnika nie należy wykazywać usług świadczonych przez lidera projektu, które mają charakter uzupełniający względem usług proinnowacyjnych udostępnianych przez regionalne centra transferu wiedzy. Przedsiębiorstwo może być wykazywane wielokrotnie w ramach wskaźnika tj. dane przedsiębiorstwo należy wykazywać każdorazowo w następstwie skorzystania z usługi udostępnionej w ramach projektu</w:t>
            </w:r>
          </w:p>
        </w:tc>
      </w:tr>
    </w:tbl>
    <w:p w14:paraId="1517F28E" w14:textId="07AA77A9" w:rsidR="00AC7FAD" w:rsidRDefault="00AC7FAD"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E00B8" w:rsidRPr="000D2664" w14:paraId="6972B2C5" w14:textId="77777777" w:rsidTr="00A9796F">
        <w:tc>
          <w:tcPr>
            <w:tcW w:w="2482" w:type="dxa"/>
            <w:shd w:val="clear" w:color="auto" w:fill="auto"/>
          </w:tcPr>
          <w:p w14:paraId="7754386B" w14:textId="77777777" w:rsidR="007E00B8" w:rsidRPr="000D2664" w:rsidRDefault="007E00B8" w:rsidP="00A9796F">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75055AA0" w14:textId="77777777" w:rsidR="007E00B8" w:rsidRPr="007055CC" w:rsidRDefault="007E00B8" w:rsidP="00A9796F">
            <w:pPr>
              <w:tabs>
                <w:tab w:val="left" w:pos="1860"/>
              </w:tabs>
              <w:spacing w:after="0" w:line="276" w:lineRule="auto"/>
              <w:rPr>
                <w:rFonts w:ascii="Arial" w:hAnsi="Arial" w:cs="Arial"/>
                <w:b/>
                <w:sz w:val="24"/>
                <w:szCs w:val="24"/>
              </w:rPr>
            </w:pPr>
            <w:r w:rsidRPr="007055CC">
              <w:rPr>
                <w:rFonts w:ascii="Arial" w:hAnsi="Arial" w:cs="Arial"/>
                <w:b/>
                <w:color w:val="000000"/>
                <w:sz w:val="24"/>
                <w:szCs w:val="24"/>
              </w:rPr>
              <w:t>Pracownicy MŚP kończący szkolenia w zakresie rozwoju umiejętności w zakresie inteligentnej specjalizacji, transformacji przemysłowej i przedsiębiorczości (według rodzaju umiejętności: techniczne)</w:t>
            </w:r>
          </w:p>
        </w:tc>
      </w:tr>
      <w:tr w:rsidR="007E00B8" w:rsidRPr="000D2664" w14:paraId="7F319491" w14:textId="77777777" w:rsidTr="00A9796F">
        <w:tc>
          <w:tcPr>
            <w:tcW w:w="2482" w:type="dxa"/>
            <w:shd w:val="clear" w:color="auto" w:fill="auto"/>
          </w:tcPr>
          <w:p w14:paraId="70411923"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0C6E514C" w14:textId="77777777" w:rsidR="007E00B8" w:rsidRPr="000D2664" w:rsidRDefault="007E00B8" w:rsidP="00A9796F">
            <w:pPr>
              <w:spacing w:after="0" w:line="276" w:lineRule="auto"/>
              <w:rPr>
                <w:rFonts w:ascii="Arial" w:hAnsi="Arial" w:cs="Arial"/>
                <w:sz w:val="24"/>
                <w:szCs w:val="24"/>
              </w:rPr>
            </w:pPr>
            <w:r w:rsidRPr="007055CC">
              <w:rPr>
                <w:rFonts w:ascii="Arial" w:hAnsi="Arial" w:cs="Arial"/>
                <w:sz w:val="24"/>
                <w:szCs w:val="24"/>
              </w:rPr>
              <w:t>PLRR054</w:t>
            </w:r>
          </w:p>
        </w:tc>
      </w:tr>
      <w:tr w:rsidR="007E00B8" w:rsidRPr="000D2664" w14:paraId="3D12AC61" w14:textId="77777777" w:rsidTr="00A9796F">
        <w:tc>
          <w:tcPr>
            <w:tcW w:w="2482" w:type="dxa"/>
            <w:shd w:val="clear" w:color="auto" w:fill="auto"/>
          </w:tcPr>
          <w:p w14:paraId="2C1D7537"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0126803F" w14:textId="77777777" w:rsidR="007E00B8" w:rsidRPr="000D2664" w:rsidRDefault="007E00B8" w:rsidP="00A9796F">
            <w:pPr>
              <w:spacing w:after="0" w:line="276" w:lineRule="auto"/>
              <w:rPr>
                <w:rFonts w:ascii="Arial" w:hAnsi="Arial" w:cs="Arial"/>
                <w:sz w:val="24"/>
                <w:szCs w:val="24"/>
              </w:rPr>
            </w:pPr>
            <w:r>
              <w:rPr>
                <w:rFonts w:ascii="Arial" w:hAnsi="Arial" w:cs="Arial"/>
                <w:sz w:val="24"/>
                <w:szCs w:val="24"/>
              </w:rPr>
              <w:t>osoby</w:t>
            </w:r>
          </w:p>
        </w:tc>
      </w:tr>
      <w:tr w:rsidR="007E00B8" w:rsidRPr="000D2664" w14:paraId="4F376B53" w14:textId="77777777" w:rsidTr="00A9796F">
        <w:tc>
          <w:tcPr>
            <w:tcW w:w="2482" w:type="dxa"/>
            <w:shd w:val="clear" w:color="auto" w:fill="auto"/>
          </w:tcPr>
          <w:p w14:paraId="106BE7A0" w14:textId="77777777" w:rsidR="007E00B8" w:rsidRPr="000D2664" w:rsidRDefault="007E00B8" w:rsidP="00A9796F">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16A190A9"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Rezultat (obowiązkowy)</w:t>
            </w:r>
          </w:p>
        </w:tc>
      </w:tr>
      <w:tr w:rsidR="007E00B8" w:rsidRPr="000D2664" w14:paraId="304EAD50" w14:textId="77777777" w:rsidTr="00A9796F">
        <w:tc>
          <w:tcPr>
            <w:tcW w:w="2482" w:type="dxa"/>
            <w:tcBorders>
              <w:bottom w:val="single" w:sz="4" w:space="0" w:color="auto"/>
            </w:tcBorders>
            <w:shd w:val="clear" w:color="auto" w:fill="auto"/>
          </w:tcPr>
          <w:p w14:paraId="1C1D3761" w14:textId="77777777" w:rsidR="007E00B8" w:rsidRPr="000D2664" w:rsidRDefault="007E00B8" w:rsidP="00A9796F">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27E2511E" w14:textId="77777777" w:rsidR="007E00B8" w:rsidRPr="000D2664" w:rsidRDefault="007E00B8" w:rsidP="00A9796F">
            <w:pPr>
              <w:pStyle w:val="Default"/>
              <w:spacing w:line="276" w:lineRule="auto"/>
              <w:rPr>
                <w:rFonts w:ascii="Arial" w:eastAsia="Times New Roman" w:hAnsi="Arial" w:cs="Arial"/>
                <w:color w:val="auto"/>
              </w:rPr>
            </w:pPr>
            <w:r w:rsidRPr="007055CC">
              <w:rPr>
                <w:rFonts w:ascii="Arial" w:eastAsia="Times New Roman" w:hAnsi="Arial" w:cs="Arial"/>
                <w:color w:val="auto"/>
              </w:rPr>
              <w:t>Liczba uczestników z MŚP (w tym mikroprzedsiębiorstw), którzy ukończyli szkolenia/działania w zakresie rozwoju umiejętności w zakresie inteligentnej specjalizacji, transformacji przemysłowej i przedsiębiorczości w zakresie: umiejętności techniczne tj.: umiejętności wymagane do rozwiązywania problemów, projektowania, obsługi, przeprojektowania i konserwacji maszyn lub układów technologicznych, specjalistyczne umiejętności informatyczne.</w:t>
            </w:r>
          </w:p>
        </w:tc>
      </w:tr>
    </w:tbl>
    <w:p w14:paraId="555B9F7E" w14:textId="77777777" w:rsidR="007E00B8" w:rsidRDefault="007E00B8" w:rsidP="007E00B8">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E00B8" w:rsidRPr="000D2664" w14:paraId="1F8086B5" w14:textId="77777777" w:rsidTr="00A9796F">
        <w:tc>
          <w:tcPr>
            <w:tcW w:w="2482" w:type="dxa"/>
            <w:shd w:val="clear" w:color="auto" w:fill="auto"/>
          </w:tcPr>
          <w:p w14:paraId="37027EEA" w14:textId="77777777" w:rsidR="007E00B8" w:rsidRPr="000D2664" w:rsidRDefault="007E00B8" w:rsidP="00A9796F">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75CB9E30" w14:textId="77777777" w:rsidR="007E00B8" w:rsidRPr="00003BBA" w:rsidRDefault="007E00B8" w:rsidP="00A9796F">
            <w:pPr>
              <w:tabs>
                <w:tab w:val="left" w:pos="1350"/>
              </w:tabs>
              <w:spacing w:after="0" w:line="276" w:lineRule="auto"/>
              <w:rPr>
                <w:rFonts w:ascii="Arial" w:hAnsi="Arial" w:cs="Arial"/>
                <w:b/>
                <w:sz w:val="24"/>
                <w:szCs w:val="24"/>
              </w:rPr>
            </w:pPr>
            <w:r w:rsidRPr="007055CC">
              <w:rPr>
                <w:rFonts w:ascii="Arial" w:hAnsi="Arial" w:cs="Arial"/>
                <w:b/>
                <w:sz w:val="24"/>
                <w:szCs w:val="24"/>
              </w:rPr>
              <w:t>Pracownicy MŚP kończący szkolenia w zakresie rozwoju umiejętności w zakresie inteligentnej specjalizacji, transformacji przemysłowej i przedsiębiorczości (według rodzaju umiejętności: zarządzanie)</w:t>
            </w:r>
          </w:p>
        </w:tc>
      </w:tr>
      <w:tr w:rsidR="007E00B8" w:rsidRPr="000D2664" w14:paraId="1B3BEDDF" w14:textId="77777777" w:rsidTr="00A9796F">
        <w:tc>
          <w:tcPr>
            <w:tcW w:w="2482" w:type="dxa"/>
            <w:shd w:val="clear" w:color="auto" w:fill="auto"/>
          </w:tcPr>
          <w:p w14:paraId="20BC9D8E"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7EF51537" w14:textId="77777777" w:rsidR="007E00B8" w:rsidRPr="000D2664" w:rsidRDefault="007E00B8" w:rsidP="00A9796F">
            <w:pPr>
              <w:spacing w:after="0" w:line="276" w:lineRule="auto"/>
              <w:rPr>
                <w:rFonts w:ascii="Arial" w:hAnsi="Arial" w:cs="Arial"/>
                <w:sz w:val="24"/>
                <w:szCs w:val="24"/>
              </w:rPr>
            </w:pPr>
            <w:r w:rsidRPr="007055CC">
              <w:rPr>
                <w:rFonts w:ascii="Arial" w:hAnsi="Arial" w:cs="Arial"/>
                <w:sz w:val="24"/>
                <w:szCs w:val="24"/>
              </w:rPr>
              <w:t>PLRR055</w:t>
            </w:r>
          </w:p>
        </w:tc>
      </w:tr>
      <w:tr w:rsidR="007E00B8" w:rsidRPr="000D2664" w14:paraId="41262127" w14:textId="77777777" w:rsidTr="00A9796F">
        <w:tc>
          <w:tcPr>
            <w:tcW w:w="2482" w:type="dxa"/>
            <w:shd w:val="clear" w:color="auto" w:fill="auto"/>
          </w:tcPr>
          <w:p w14:paraId="65214679"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48996E37" w14:textId="77777777" w:rsidR="007E00B8" w:rsidRPr="000D2664" w:rsidRDefault="007E00B8" w:rsidP="00A9796F">
            <w:pPr>
              <w:spacing w:after="0" w:line="276" w:lineRule="auto"/>
              <w:rPr>
                <w:rFonts w:ascii="Arial" w:hAnsi="Arial" w:cs="Arial"/>
                <w:sz w:val="24"/>
                <w:szCs w:val="24"/>
              </w:rPr>
            </w:pPr>
            <w:r>
              <w:rPr>
                <w:rFonts w:ascii="Arial" w:hAnsi="Arial" w:cs="Arial"/>
                <w:sz w:val="24"/>
                <w:szCs w:val="24"/>
              </w:rPr>
              <w:t>osoby</w:t>
            </w:r>
          </w:p>
        </w:tc>
      </w:tr>
      <w:tr w:rsidR="007E00B8" w:rsidRPr="000D2664" w14:paraId="65B66517" w14:textId="77777777" w:rsidTr="00A9796F">
        <w:tc>
          <w:tcPr>
            <w:tcW w:w="2482" w:type="dxa"/>
            <w:shd w:val="clear" w:color="auto" w:fill="auto"/>
          </w:tcPr>
          <w:p w14:paraId="6ED2A198" w14:textId="77777777" w:rsidR="007E00B8" w:rsidRPr="000D2664" w:rsidRDefault="007E00B8" w:rsidP="00A9796F">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218E288D"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Rezultat (obowiązkowy)</w:t>
            </w:r>
          </w:p>
        </w:tc>
      </w:tr>
      <w:tr w:rsidR="007E00B8" w:rsidRPr="000D2664" w14:paraId="0814F9CF" w14:textId="77777777" w:rsidTr="00A9796F">
        <w:tc>
          <w:tcPr>
            <w:tcW w:w="2482" w:type="dxa"/>
            <w:tcBorders>
              <w:bottom w:val="single" w:sz="4" w:space="0" w:color="auto"/>
            </w:tcBorders>
            <w:shd w:val="clear" w:color="auto" w:fill="auto"/>
          </w:tcPr>
          <w:p w14:paraId="21510238" w14:textId="77777777" w:rsidR="007E00B8" w:rsidRPr="000D2664" w:rsidRDefault="007E00B8" w:rsidP="00A9796F">
            <w:pPr>
              <w:spacing w:after="0" w:line="276" w:lineRule="auto"/>
              <w:rPr>
                <w:rFonts w:ascii="Arial" w:hAnsi="Arial" w:cs="Arial"/>
                <w:b/>
                <w:bCs/>
                <w:sz w:val="24"/>
                <w:szCs w:val="24"/>
                <w:lang w:val="en-US"/>
              </w:rPr>
            </w:pPr>
            <w:r w:rsidRPr="000D2664">
              <w:rPr>
                <w:rFonts w:ascii="Arial" w:hAnsi="Arial" w:cs="Arial"/>
                <w:sz w:val="24"/>
                <w:szCs w:val="24"/>
              </w:rPr>
              <w:lastRenderedPageBreak/>
              <w:t>Definicja wskaźnika</w:t>
            </w:r>
          </w:p>
        </w:tc>
        <w:tc>
          <w:tcPr>
            <w:tcW w:w="7016" w:type="dxa"/>
            <w:tcBorders>
              <w:bottom w:val="single" w:sz="4" w:space="0" w:color="auto"/>
            </w:tcBorders>
            <w:shd w:val="clear" w:color="auto" w:fill="auto"/>
          </w:tcPr>
          <w:p w14:paraId="3BCED02C" w14:textId="77777777" w:rsidR="007E00B8" w:rsidRPr="000D2664" w:rsidRDefault="007E00B8" w:rsidP="00A9796F">
            <w:pPr>
              <w:pStyle w:val="Default"/>
              <w:spacing w:line="276" w:lineRule="auto"/>
              <w:rPr>
                <w:rFonts w:ascii="Arial" w:eastAsia="Times New Roman" w:hAnsi="Arial" w:cs="Arial"/>
                <w:color w:val="auto"/>
              </w:rPr>
            </w:pPr>
            <w:r w:rsidRPr="007055CC">
              <w:rPr>
                <w:rFonts w:ascii="Arial" w:eastAsia="Times New Roman" w:hAnsi="Arial" w:cs="Arial"/>
                <w:color w:val="auto"/>
              </w:rPr>
              <w:t>Liczba uczestników z MŚP (w tym mikroprzedsiębiorstw), którzy ukończyli szkolenia/działania w zakresie rozwoju umiejętności w zakresie inteligentnej specjalizacji, transformacji przemysłowej i przedsiębiorczości w zakresie: umiejętności zarządcze tj. umiejętności związane z planowaniem biznesowym, przestrzeganiem przepisów i kontrolą jakości, planowaniem zasobów ludzkich i alokacją zasobów</w:t>
            </w:r>
            <w:r>
              <w:rPr>
                <w:rFonts w:ascii="Arial" w:eastAsia="Times New Roman" w:hAnsi="Arial" w:cs="Arial"/>
                <w:color w:val="auto"/>
              </w:rPr>
              <w:t>.</w:t>
            </w:r>
          </w:p>
        </w:tc>
      </w:tr>
    </w:tbl>
    <w:p w14:paraId="27C03B2A" w14:textId="77777777" w:rsidR="007E00B8" w:rsidRDefault="007E00B8" w:rsidP="007E00B8">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E00B8" w:rsidRPr="000D2664" w14:paraId="53DCAC7A" w14:textId="77777777" w:rsidTr="00A9796F">
        <w:tc>
          <w:tcPr>
            <w:tcW w:w="2482" w:type="dxa"/>
            <w:shd w:val="clear" w:color="auto" w:fill="auto"/>
          </w:tcPr>
          <w:p w14:paraId="14AA803E" w14:textId="77777777" w:rsidR="007E00B8" w:rsidRPr="000D2664" w:rsidRDefault="007E00B8" w:rsidP="00A9796F">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6C069706" w14:textId="77777777" w:rsidR="007E00B8" w:rsidRPr="00003BBA" w:rsidRDefault="007E00B8" w:rsidP="00A9796F">
            <w:pPr>
              <w:tabs>
                <w:tab w:val="left" w:pos="945"/>
              </w:tabs>
              <w:spacing w:after="0" w:line="276" w:lineRule="auto"/>
              <w:rPr>
                <w:rFonts w:ascii="Arial" w:hAnsi="Arial" w:cs="Arial"/>
                <w:b/>
                <w:sz w:val="24"/>
                <w:szCs w:val="24"/>
              </w:rPr>
            </w:pPr>
            <w:r w:rsidRPr="007055CC">
              <w:rPr>
                <w:rFonts w:ascii="Arial" w:hAnsi="Arial" w:cs="Arial"/>
                <w:b/>
                <w:sz w:val="24"/>
                <w:szCs w:val="24"/>
              </w:rPr>
              <w:t>Pracownicy MŚP kończący szkolenia w zakresie rozwoju umiejętności w zakresie inteligentnej specjalizacji, transformacji przemysłowej i przedsiębiorczości (według rodzaju umiejętności: przedsiębiorczość)</w:t>
            </w:r>
          </w:p>
        </w:tc>
      </w:tr>
      <w:tr w:rsidR="007E00B8" w:rsidRPr="000D2664" w14:paraId="542C29F1" w14:textId="77777777" w:rsidTr="00A9796F">
        <w:tc>
          <w:tcPr>
            <w:tcW w:w="2482" w:type="dxa"/>
            <w:shd w:val="clear" w:color="auto" w:fill="auto"/>
          </w:tcPr>
          <w:p w14:paraId="53D1A25B"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2C4E5553" w14:textId="77777777" w:rsidR="007E00B8" w:rsidRPr="000D2664" w:rsidRDefault="007E00B8" w:rsidP="00A9796F">
            <w:pPr>
              <w:spacing w:after="0" w:line="276" w:lineRule="auto"/>
              <w:rPr>
                <w:rFonts w:ascii="Arial" w:hAnsi="Arial" w:cs="Arial"/>
                <w:sz w:val="24"/>
                <w:szCs w:val="24"/>
              </w:rPr>
            </w:pPr>
            <w:r w:rsidRPr="007055CC">
              <w:rPr>
                <w:rFonts w:ascii="Arial" w:hAnsi="Arial" w:cs="Arial"/>
                <w:sz w:val="24"/>
                <w:szCs w:val="24"/>
              </w:rPr>
              <w:t>PLRR056</w:t>
            </w:r>
          </w:p>
        </w:tc>
      </w:tr>
      <w:tr w:rsidR="007E00B8" w:rsidRPr="000D2664" w14:paraId="25CE1FB9" w14:textId="77777777" w:rsidTr="00A9796F">
        <w:tc>
          <w:tcPr>
            <w:tcW w:w="2482" w:type="dxa"/>
            <w:shd w:val="clear" w:color="auto" w:fill="auto"/>
          </w:tcPr>
          <w:p w14:paraId="3D51E5C2"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09E809D6" w14:textId="77777777" w:rsidR="007E00B8" w:rsidRPr="000D2664" w:rsidRDefault="007E00B8" w:rsidP="00A9796F">
            <w:pPr>
              <w:spacing w:after="0" w:line="276" w:lineRule="auto"/>
              <w:rPr>
                <w:rFonts w:ascii="Arial" w:hAnsi="Arial" w:cs="Arial"/>
                <w:sz w:val="24"/>
                <w:szCs w:val="24"/>
              </w:rPr>
            </w:pPr>
            <w:r>
              <w:rPr>
                <w:rFonts w:ascii="Arial" w:hAnsi="Arial" w:cs="Arial"/>
                <w:sz w:val="24"/>
                <w:szCs w:val="24"/>
              </w:rPr>
              <w:t>osoby</w:t>
            </w:r>
          </w:p>
        </w:tc>
      </w:tr>
      <w:tr w:rsidR="007E00B8" w:rsidRPr="000D2664" w14:paraId="49E518E3" w14:textId="77777777" w:rsidTr="00A9796F">
        <w:tc>
          <w:tcPr>
            <w:tcW w:w="2482" w:type="dxa"/>
            <w:shd w:val="clear" w:color="auto" w:fill="auto"/>
          </w:tcPr>
          <w:p w14:paraId="6FA3D2E5" w14:textId="77777777" w:rsidR="007E00B8" w:rsidRPr="000D2664" w:rsidRDefault="007E00B8" w:rsidP="00A9796F">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7ADEA176"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Rezultat (obowiązkowy)</w:t>
            </w:r>
          </w:p>
        </w:tc>
      </w:tr>
      <w:tr w:rsidR="007E00B8" w:rsidRPr="000D2664" w14:paraId="1EE15E16" w14:textId="77777777" w:rsidTr="00A9796F">
        <w:tc>
          <w:tcPr>
            <w:tcW w:w="2482" w:type="dxa"/>
            <w:tcBorders>
              <w:bottom w:val="single" w:sz="4" w:space="0" w:color="auto"/>
            </w:tcBorders>
            <w:shd w:val="clear" w:color="auto" w:fill="auto"/>
          </w:tcPr>
          <w:p w14:paraId="74F8A164" w14:textId="77777777" w:rsidR="007E00B8" w:rsidRPr="000D2664" w:rsidRDefault="007E00B8" w:rsidP="00A9796F">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01546CDF" w14:textId="77777777" w:rsidR="007E00B8" w:rsidRPr="000D2664" w:rsidRDefault="007E00B8" w:rsidP="00A9796F">
            <w:pPr>
              <w:pStyle w:val="Default"/>
              <w:spacing w:line="276" w:lineRule="auto"/>
              <w:rPr>
                <w:rFonts w:ascii="Arial" w:eastAsia="Times New Roman" w:hAnsi="Arial" w:cs="Arial"/>
                <w:color w:val="auto"/>
              </w:rPr>
            </w:pPr>
            <w:r w:rsidRPr="007055CC">
              <w:rPr>
                <w:rFonts w:ascii="Arial" w:eastAsia="Times New Roman" w:hAnsi="Arial" w:cs="Arial"/>
                <w:color w:val="auto"/>
              </w:rPr>
              <w:t xml:space="preserve">Liczba uczestników z MŚP (w tym mikroprzedsiębiorstw), którzy ukończyli szkolenia/działania w zakresie rozwoju umiejętności w zakresie inteligentnej specjalizacji, transformacji przemysłowej i przedsiębiorczości w zakresie: umiejętności przedsiębiorcze </w:t>
            </w:r>
            <w:proofErr w:type="spellStart"/>
            <w:r w:rsidRPr="007055CC">
              <w:rPr>
                <w:rFonts w:ascii="Arial" w:eastAsia="Times New Roman" w:hAnsi="Arial" w:cs="Arial"/>
                <w:color w:val="auto"/>
              </w:rPr>
              <w:t>tj</w:t>
            </w:r>
            <w:proofErr w:type="spellEnd"/>
            <w:r w:rsidRPr="007055CC">
              <w:rPr>
                <w:rFonts w:ascii="Arial" w:eastAsia="Times New Roman" w:hAnsi="Arial" w:cs="Arial"/>
                <w:color w:val="auto"/>
              </w:rPr>
              <w:t>: szczególne umiejętności dla przedsiębiorstw typu start-</w:t>
            </w:r>
            <w:proofErr w:type="spellStart"/>
            <w:r w:rsidRPr="007055CC">
              <w:rPr>
                <w:rFonts w:ascii="Arial" w:eastAsia="Times New Roman" w:hAnsi="Arial" w:cs="Arial"/>
                <w:color w:val="auto"/>
              </w:rPr>
              <w:t>up</w:t>
            </w:r>
            <w:proofErr w:type="spellEnd"/>
            <w:r w:rsidRPr="007055CC">
              <w:rPr>
                <w:rFonts w:ascii="Arial" w:eastAsia="Times New Roman" w:hAnsi="Arial" w:cs="Arial"/>
                <w:color w:val="auto"/>
              </w:rPr>
              <w:t>, takie jak akceptacja ryzyka/zarządzanie ryzykiem, myślenie strategiczne i pewność, umiejętność tworzenia osobistych sieci kontaktów, umiejętność radzenia sobie z wyzwaniami i wymaganiami o różnym charakterze</w:t>
            </w:r>
            <w:r>
              <w:rPr>
                <w:rFonts w:ascii="Arial" w:eastAsia="Times New Roman" w:hAnsi="Arial" w:cs="Arial"/>
                <w:color w:val="auto"/>
              </w:rPr>
              <w:t>.</w:t>
            </w:r>
          </w:p>
        </w:tc>
      </w:tr>
    </w:tbl>
    <w:p w14:paraId="46E338E0" w14:textId="77777777" w:rsidR="007E00B8" w:rsidRDefault="007E00B8" w:rsidP="007E00B8">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E00B8" w:rsidRPr="000D2664" w14:paraId="2539C99D" w14:textId="77777777" w:rsidTr="00A9796F">
        <w:tc>
          <w:tcPr>
            <w:tcW w:w="2482" w:type="dxa"/>
            <w:shd w:val="clear" w:color="auto" w:fill="auto"/>
          </w:tcPr>
          <w:p w14:paraId="1609C846" w14:textId="77777777" w:rsidR="007E00B8" w:rsidRPr="000D2664" w:rsidRDefault="007E00B8" w:rsidP="00A9796F">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1054EDF7" w14:textId="77777777" w:rsidR="007E00B8" w:rsidRPr="00003BBA" w:rsidRDefault="007E00B8" w:rsidP="00A9796F">
            <w:pPr>
              <w:tabs>
                <w:tab w:val="left" w:pos="1350"/>
              </w:tabs>
              <w:spacing w:after="0" w:line="276" w:lineRule="auto"/>
              <w:rPr>
                <w:rFonts w:ascii="Arial" w:hAnsi="Arial" w:cs="Arial"/>
                <w:b/>
                <w:sz w:val="24"/>
                <w:szCs w:val="24"/>
              </w:rPr>
            </w:pPr>
            <w:r w:rsidRPr="007055CC">
              <w:rPr>
                <w:rFonts w:ascii="Arial" w:hAnsi="Arial" w:cs="Arial"/>
                <w:b/>
                <w:sz w:val="24"/>
                <w:szCs w:val="24"/>
              </w:rPr>
              <w:t>Pracownicy MŚP kończący szkolenia w zakresie rozwoju umiejętności w zakresie inteligentnej specjalizacji, transformacji przemysłowej i przedsiębiorczości (według rodzaju umiejętności: ekologiczne)</w:t>
            </w:r>
          </w:p>
        </w:tc>
      </w:tr>
      <w:tr w:rsidR="007E00B8" w:rsidRPr="000D2664" w14:paraId="306B22CB" w14:textId="77777777" w:rsidTr="00A9796F">
        <w:tc>
          <w:tcPr>
            <w:tcW w:w="2482" w:type="dxa"/>
            <w:shd w:val="clear" w:color="auto" w:fill="auto"/>
          </w:tcPr>
          <w:p w14:paraId="34F85E4F"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746C11C" w14:textId="77777777" w:rsidR="007E00B8" w:rsidRPr="000D2664" w:rsidRDefault="007E00B8" w:rsidP="00A9796F">
            <w:pPr>
              <w:tabs>
                <w:tab w:val="left" w:pos="1800"/>
              </w:tabs>
              <w:spacing w:after="0" w:line="276" w:lineRule="auto"/>
              <w:rPr>
                <w:rFonts w:ascii="Arial" w:hAnsi="Arial" w:cs="Arial"/>
                <w:sz w:val="24"/>
                <w:szCs w:val="24"/>
              </w:rPr>
            </w:pPr>
            <w:r w:rsidRPr="007055CC">
              <w:rPr>
                <w:rFonts w:ascii="Arial" w:hAnsi="Arial" w:cs="Arial"/>
                <w:sz w:val="24"/>
                <w:szCs w:val="24"/>
              </w:rPr>
              <w:t>PLRR057</w:t>
            </w:r>
          </w:p>
        </w:tc>
      </w:tr>
      <w:tr w:rsidR="007E00B8" w:rsidRPr="000D2664" w14:paraId="600A5FD4" w14:textId="77777777" w:rsidTr="00A9796F">
        <w:tc>
          <w:tcPr>
            <w:tcW w:w="2482" w:type="dxa"/>
            <w:shd w:val="clear" w:color="auto" w:fill="auto"/>
          </w:tcPr>
          <w:p w14:paraId="19229480"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5EA7A24D" w14:textId="77777777" w:rsidR="007E00B8" w:rsidRPr="000D2664" w:rsidRDefault="007E00B8" w:rsidP="00A9796F">
            <w:pPr>
              <w:spacing w:after="0" w:line="276" w:lineRule="auto"/>
              <w:rPr>
                <w:rFonts w:ascii="Arial" w:hAnsi="Arial" w:cs="Arial"/>
                <w:sz w:val="24"/>
                <w:szCs w:val="24"/>
              </w:rPr>
            </w:pPr>
            <w:r>
              <w:rPr>
                <w:rFonts w:ascii="Arial" w:hAnsi="Arial" w:cs="Arial"/>
                <w:sz w:val="24"/>
                <w:szCs w:val="24"/>
              </w:rPr>
              <w:t>osoby</w:t>
            </w:r>
          </w:p>
        </w:tc>
      </w:tr>
      <w:tr w:rsidR="007E00B8" w:rsidRPr="000D2664" w14:paraId="42712CB8" w14:textId="77777777" w:rsidTr="00A9796F">
        <w:tc>
          <w:tcPr>
            <w:tcW w:w="2482" w:type="dxa"/>
            <w:shd w:val="clear" w:color="auto" w:fill="auto"/>
          </w:tcPr>
          <w:p w14:paraId="090B2B86" w14:textId="77777777" w:rsidR="007E00B8" w:rsidRPr="000D2664" w:rsidRDefault="007E00B8" w:rsidP="00A9796F">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0C916F8D"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Rezultat (obowiązkowy)</w:t>
            </w:r>
          </w:p>
        </w:tc>
      </w:tr>
      <w:tr w:rsidR="007E00B8" w:rsidRPr="000D2664" w14:paraId="02E8D7B0" w14:textId="77777777" w:rsidTr="00A9796F">
        <w:tc>
          <w:tcPr>
            <w:tcW w:w="2482" w:type="dxa"/>
            <w:tcBorders>
              <w:bottom w:val="single" w:sz="4" w:space="0" w:color="auto"/>
            </w:tcBorders>
            <w:shd w:val="clear" w:color="auto" w:fill="auto"/>
          </w:tcPr>
          <w:p w14:paraId="0ACD670A" w14:textId="77777777" w:rsidR="007E00B8" w:rsidRPr="000D2664" w:rsidRDefault="007E00B8" w:rsidP="00A9796F">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04F69618" w14:textId="77777777" w:rsidR="007E00B8" w:rsidRPr="000D2664" w:rsidRDefault="007E00B8" w:rsidP="00A9796F">
            <w:pPr>
              <w:pStyle w:val="Default"/>
              <w:spacing w:line="276" w:lineRule="auto"/>
              <w:rPr>
                <w:rFonts w:ascii="Arial" w:eastAsia="Times New Roman" w:hAnsi="Arial" w:cs="Arial"/>
                <w:color w:val="auto"/>
              </w:rPr>
            </w:pPr>
            <w:r w:rsidRPr="007055CC">
              <w:rPr>
                <w:rFonts w:ascii="Arial" w:eastAsia="Times New Roman" w:hAnsi="Arial" w:cs="Arial"/>
                <w:color w:val="auto"/>
              </w:rPr>
              <w:t>Liczba uczestników z MŚP (w tym mikroprzedsiębiorstw), którzy ukończyli szkolenia/działania w zakresie rozwoju umiejętności w zakresie inteligentnej specjalizacji, transformacji przemysłowej i przedsiębiorczości w zakresie: umiejętności ekologiczne tj.: szczególne umiejętności związane z modyfikowaniem produktów, usług lub operacji w zakresie przystosowania się do zmiany klimatu, ochroną środowiska, gospodarką o obiegu zamkniętym, efektywnością zasobów oraz wymogami lub przepisami; - Inne umiejętności: umiejętności inne niż cztery rodzaje opisane powyżej. (OECD 2013 w odniesieniach)</w:t>
            </w:r>
            <w:r>
              <w:rPr>
                <w:rFonts w:ascii="Arial" w:eastAsia="Times New Roman" w:hAnsi="Arial" w:cs="Arial"/>
                <w:color w:val="auto"/>
              </w:rPr>
              <w:t>.</w:t>
            </w:r>
          </w:p>
        </w:tc>
      </w:tr>
    </w:tbl>
    <w:p w14:paraId="39A71A8F" w14:textId="77777777" w:rsidR="007E00B8" w:rsidRDefault="007E00B8" w:rsidP="007E00B8">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E00B8" w:rsidRPr="000D2664" w14:paraId="6585663B" w14:textId="77777777" w:rsidTr="00A9796F">
        <w:tc>
          <w:tcPr>
            <w:tcW w:w="2482" w:type="dxa"/>
            <w:shd w:val="clear" w:color="auto" w:fill="auto"/>
          </w:tcPr>
          <w:p w14:paraId="5AB2AC74" w14:textId="77777777" w:rsidR="007E00B8" w:rsidRPr="000D2664" w:rsidRDefault="007E00B8" w:rsidP="00A9796F">
            <w:pPr>
              <w:spacing w:after="0" w:line="276" w:lineRule="auto"/>
              <w:rPr>
                <w:rFonts w:ascii="Arial" w:hAnsi="Arial" w:cs="Arial"/>
                <w:b/>
                <w:sz w:val="24"/>
                <w:szCs w:val="24"/>
              </w:rPr>
            </w:pPr>
            <w:r w:rsidRPr="000D2664">
              <w:rPr>
                <w:rFonts w:ascii="Arial" w:hAnsi="Arial" w:cs="Arial"/>
                <w:sz w:val="24"/>
                <w:szCs w:val="24"/>
              </w:rPr>
              <w:lastRenderedPageBreak/>
              <w:t>Nazwa wskaźnika</w:t>
            </w:r>
          </w:p>
        </w:tc>
        <w:tc>
          <w:tcPr>
            <w:tcW w:w="7016" w:type="dxa"/>
            <w:shd w:val="clear" w:color="auto" w:fill="auto"/>
          </w:tcPr>
          <w:p w14:paraId="138EBA15" w14:textId="77777777" w:rsidR="007E00B8" w:rsidRPr="00003BBA" w:rsidRDefault="007E00B8" w:rsidP="00A9796F">
            <w:pPr>
              <w:tabs>
                <w:tab w:val="left" w:pos="1080"/>
              </w:tabs>
              <w:spacing w:after="0" w:line="276" w:lineRule="auto"/>
              <w:rPr>
                <w:rFonts w:ascii="Arial" w:hAnsi="Arial" w:cs="Arial"/>
                <w:b/>
                <w:sz w:val="24"/>
                <w:szCs w:val="24"/>
              </w:rPr>
            </w:pPr>
            <w:r w:rsidRPr="007055CC">
              <w:rPr>
                <w:rFonts w:ascii="Arial" w:hAnsi="Arial" w:cs="Arial"/>
                <w:b/>
                <w:sz w:val="24"/>
                <w:szCs w:val="24"/>
              </w:rPr>
              <w:t>Pracownicy MŚP kończący szkolenia w zakresie rozwoju umiejętności w zakresie inteligentnej specjalizacji, transformacji przemysłowej i przedsiębiorczości (według rodzaju umiejętności: inne)</w:t>
            </w:r>
          </w:p>
        </w:tc>
      </w:tr>
      <w:tr w:rsidR="007E00B8" w:rsidRPr="000D2664" w14:paraId="42560DF3" w14:textId="77777777" w:rsidTr="00A9796F">
        <w:tc>
          <w:tcPr>
            <w:tcW w:w="2482" w:type="dxa"/>
            <w:shd w:val="clear" w:color="auto" w:fill="auto"/>
          </w:tcPr>
          <w:p w14:paraId="49AFE4E3"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7BECB12D" w14:textId="77777777" w:rsidR="007E00B8" w:rsidRPr="000D2664" w:rsidRDefault="007E00B8" w:rsidP="00A9796F">
            <w:pPr>
              <w:spacing w:after="0" w:line="276" w:lineRule="auto"/>
              <w:rPr>
                <w:rFonts w:ascii="Arial" w:hAnsi="Arial" w:cs="Arial"/>
                <w:sz w:val="24"/>
                <w:szCs w:val="24"/>
              </w:rPr>
            </w:pPr>
            <w:r w:rsidRPr="007055CC">
              <w:rPr>
                <w:rFonts w:ascii="Arial" w:hAnsi="Arial" w:cs="Arial"/>
                <w:sz w:val="24"/>
                <w:szCs w:val="24"/>
              </w:rPr>
              <w:t>PLRR058</w:t>
            </w:r>
          </w:p>
        </w:tc>
      </w:tr>
      <w:tr w:rsidR="007E00B8" w:rsidRPr="000D2664" w14:paraId="53E90DE2" w14:textId="77777777" w:rsidTr="00A9796F">
        <w:tc>
          <w:tcPr>
            <w:tcW w:w="2482" w:type="dxa"/>
            <w:shd w:val="clear" w:color="auto" w:fill="auto"/>
          </w:tcPr>
          <w:p w14:paraId="7A61EDD4"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19EDD3F5" w14:textId="77777777" w:rsidR="007E00B8" w:rsidRPr="000D2664" w:rsidRDefault="007E00B8" w:rsidP="00A9796F">
            <w:pPr>
              <w:spacing w:after="0" w:line="276" w:lineRule="auto"/>
              <w:rPr>
                <w:rFonts w:ascii="Arial" w:hAnsi="Arial" w:cs="Arial"/>
                <w:sz w:val="24"/>
                <w:szCs w:val="24"/>
              </w:rPr>
            </w:pPr>
            <w:r>
              <w:rPr>
                <w:rFonts w:ascii="Arial" w:hAnsi="Arial" w:cs="Arial"/>
                <w:sz w:val="24"/>
                <w:szCs w:val="24"/>
              </w:rPr>
              <w:t>osoby</w:t>
            </w:r>
          </w:p>
        </w:tc>
      </w:tr>
      <w:tr w:rsidR="007E00B8" w:rsidRPr="000D2664" w14:paraId="1D74A146" w14:textId="77777777" w:rsidTr="00A9796F">
        <w:tc>
          <w:tcPr>
            <w:tcW w:w="2482" w:type="dxa"/>
            <w:shd w:val="clear" w:color="auto" w:fill="auto"/>
          </w:tcPr>
          <w:p w14:paraId="2EC67390" w14:textId="77777777" w:rsidR="007E00B8" w:rsidRPr="000D2664" w:rsidRDefault="007E00B8" w:rsidP="00A9796F">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0E4C3AB3" w14:textId="77777777" w:rsidR="007E00B8" w:rsidRPr="000D2664" w:rsidRDefault="007E00B8" w:rsidP="00A9796F">
            <w:pPr>
              <w:spacing w:after="0" w:line="276" w:lineRule="auto"/>
              <w:rPr>
                <w:rFonts w:ascii="Arial" w:hAnsi="Arial" w:cs="Arial"/>
                <w:sz w:val="24"/>
                <w:szCs w:val="24"/>
              </w:rPr>
            </w:pPr>
            <w:r w:rsidRPr="000D2664">
              <w:rPr>
                <w:rFonts w:ascii="Arial" w:hAnsi="Arial" w:cs="Arial"/>
                <w:sz w:val="24"/>
                <w:szCs w:val="24"/>
              </w:rPr>
              <w:t>Rezultat (obowiązkowy)</w:t>
            </w:r>
          </w:p>
        </w:tc>
      </w:tr>
      <w:tr w:rsidR="007E00B8" w:rsidRPr="000D2664" w14:paraId="40CCA5D8" w14:textId="77777777" w:rsidTr="00A9796F">
        <w:tc>
          <w:tcPr>
            <w:tcW w:w="2482" w:type="dxa"/>
            <w:tcBorders>
              <w:bottom w:val="single" w:sz="4" w:space="0" w:color="auto"/>
            </w:tcBorders>
            <w:shd w:val="clear" w:color="auto" w:fill="auto"/>
          </w:tcPr>
          <w:p w14:paraId="1E5BAF68" w14:textId="77777777" w:rsidR="007E00B8" w:rsidRPr="000D2664" w:rsidRDefault="007E00B8" w:rsidP="00A9796F">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3E64EC5E" w14:textId="77777777" w:rsidR="007E00B8" w:rsidRPr="000D2664" w:rsidRDefault="007E00B8" w:rsidP="00A9796F">
            <w:pPr>
              <w:pStyle w:val="Default"/>
              <w:spacing w:line="276" w:lineRule="auto"/>
              <w:rPr>
                <w:rFonts w:ascii="Arial" w:eastAsia="Times New Roman" w:hAnsi="Arial" w:cs="Arial"/>
                <w:color w:val="auto"/>
              </w:rPr>
            </w:pPr>
            <w:r w:rsidRPr="007055CC">
              <w:rPr>
                <w:rFonts w:ascii="Arial" w:eastAsia="Times New Roman" w:hAnsi="Arial" w:cs="Arial"/>
                <w:color w:val="auto"/>
              </w:rPr>
              <w:t>Liczba uczestników z MŚP (w tym mikroprzedsiębiorstw), którzy ukończyli szkolenia/działania w zakresie rozwoju umiejętności w zakresie inteligentnej specjalizacji, transformacji przemysłowej i przedsiębiorczości w zakresie: inne umiejętności: umiejętności inne niż cztery rodzaje opisane powyżej. (OECD 2013 w odniesieniach)</w:t>
            </w:r>
          </w:p>
        </w:tc>
      </w:tr>
    </w:tbl>
    <w:p w14:paraId="5FA29781" w14:textId="57C34772" w:rsidR="00671C51" w:rsidRDefault="00671C51"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983F14" w:rsidRPr="000D2664" w14:paraId="078454FA" w14:textId="77777777" w:rsidTr="006B0389">
        <w:tc>
          <w:tcPr>
            <w:tcW w:w="2482" w:type="dxa"/>
            <w:shd w:val="clear" w:color="auto" w:fill="auto"/>
          </w:tcPr>
          <w:p w14:paraId="507A11E7" w14:textId="77777777" w:rsidR="00983F14" w:rsidRPr="000D2664" w:rsidRDefault="00983F14" w:rsidP="006B0389">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760DB922" w14:textId="062F97CA" w:rsidR="00983F14" w:rsidRPr="00E54F34" w:rsidRDefault="00983F14" w:rsidP="006B0389">
            <w:pPr>
              <w:spacing w:after="0" w:line="276" w:lineRule="auto"/>
              <w:rPr>
                <w:rFonts w:ascii="Arial" w:hAnsi="Arial" w:cs="Arial"/>
                <w:b/>
                <w:color w:val="000000" w:themeColor="text1"/>
                <w:sz w:val="24"/>
                <w:szCs w:val="24"/>
              </w:rPr>
            </w:pPr>
            <w:r w:rsidRPr="00E54F34">
              <w:rPr>
                <w:b/>
                <w:color w:val="000000" w:themeColor="text1"/>
                <w:sz w:val="28"/>
              </w:rPr>
              <w:t>Liczba przedsięwzięć proekologicznych</w:t>
            </w:r>
          </w:p>
        </w:tc>
      </w:tr>
      <w:tr w:rsidR="00983F14" w:rsidRPr="000D2664" w14:paraId="0F738762" w14:textId="77777777" w:rsidTr="006B0389">
        <w:tc>
          <w:tcPr>
            <w:tcW w:w="2482" w:type="dxa"/>
            <w:shd w:val="clear" w:color="auto" w:fill="auto"/>
          </w:tcPr>
          <w:p w14:paraId="7ABCA59A" w14:textId="77777777" w:rsidR="00983F14" w:rsidRPr="000D2664" w:rsidRDefault="00983F14"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229FA49" w14:textId="6247E5F7" w:rsidR="00983F14" w:rsidRPr="000D2664" w:rsidRDefault="00983F14" w:rsidP="00983F14">
            <w:pPr>
              <w:spacing w:after="0" w:line="276" w:lineRule="auto"/>
              <w:rPr>
                <w:rFonts w:ascii="Arial" w:hAnsi="Arial" w:cs="Arial"/>
                <w:sz w:val="24"/>
                <w:szCs w:val="24"/>
              </w:rPr>
            </w:pPr>
            <w:r w:rsidRPr="006A3327">
              <w:rPr>
                <w:rFonts w:ascii="Arial" w:hAnsi="Arial" w:cs="Arial"/>
                <w:sz w:val="24"/>
                <w:szCs w:val="24"/>
              </w:rPr>
              <w:t>PLRR051</w:t>
            </w:r>
          </w:p>
        </w:tc>
      </w:tr>
      <w:tr w:rsidR="00983F14" w:rsidRPr="000D2664" w14:paraId="09F370A0" w14:textId="77777777" w:rsidTr="006B0389">
        <w:tc>
          <w:tcPr>
            <w:tcW w:w="2482" w:type="dxa"/>
            <w:shd w:val="clear" w:color="auto" w:fill="auto"/>
          </w:tcPr>
          <w:p w14:paraId="5E1D6B4E" w14:textId="77777777" w:rsidR="00983F14" w:rsidRPr="000D2664" w:rsidRDefault="00983F14"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29AA6BB9" w14:textId="7B4E24AC" w:rsidR="00983F14" w:rsidRPr="000D2664" w:rsidRDefault="00983F14" w:rsidP="00983F14">
            <w:pPr>
              <w:spacing w:after="0" w:line="276" w:lineRule="auto"/>
              <w:rPr>
                <w:rFonts w:ascii="Arial" w:hAnsi="Arial" w:cs="Arial"/>
                <w:sz w:val="24"/>
                <w:szCs w:val="24"/>
              </w:rPr>
            </w:pPr>
            <w:r>
              <w:rPr>
                <w:rFonts w:ascii="Arial" w:hAnsi="Arial" w:cs="Arial"/>
                <w:sz w:val="24"/>
                <w:szCs w:val="24"/>
              </w:rPr>
              <w:t>szt.</w:t>
            </w:r>
          </w:p>
        </w:tc>
      </w:tr>
      <w:tr w:rsidR="00983F14" w:rsidRPr="000D2664" w14:paraId="0A41E1FC" w14:textId="77777777" w:rsidTr="006B0389">
        <w:tc>
          <w:tcPr>
            <w:tcW w:w="2482" w:type="dxa"/>
            <w:shd w:val="clear" w:color="auto" w:fill="auto"/>
          </w:tcPr>
          <w:p w14:paraId="5B346A7D" w14:textId="77777777" w:rsidR="00983F14" w:rsidRPr="000D2664" w:rsidRDefault="00983F14"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04E61861" w14:textId="7FE1C28E" w:rsidR="00983F14" w:rsidRPr="000D2664" w:rsidRDefault="00983F14" w:rsidP="00983F14">
            <w:pPr>
              <w:spacing w:after="0" w:line="276" w:lineRule="auto"/>
              <w:rPr>
                <w:rFonts w:ascii="Arial" w:hAnsi="Arial" w:cs="Arial"/>
                <w:sz w:val="24"/>
                <w:szCs w:val="24"/>
              </w:rPr>
            </w:pPr>
            <w:r w:rsidRPr="000D2664">
              <w:rPr>
                <w:rFonts w:ascii="Arial" w:hAnsi="Arial" w:cs="Arial"/>
                <w:sz w:val="24"/>
                <w:szCs w:val="24"/>
              </w:rPr>
              <w:t>Rezultat (obowiązkowy)</w:t>
            </w:r>
          </w:p>
        </w:tc>
      </w:tr>
      <w:tr w:rsidR="00983F14" w:rsidRPr="000D2664" w14:paraId="1EF4A87C" w14:textId="77777777" w:rsidTr="006B0389">
        <w:tc>
          <w:tcPr>
            <w:tcW w:w="2482" w:type="dxa"/>
            <w:tcBorders>
              <w:bottom w:val="single" w:sz="4" w:space="0" w:color="auto"/>
            </w:tcBorders>
            <w:shd w:val="clear" w:color="auto" w:fill="auto"/>
          </w:tcPr>
          <w:p w14:paraId="1C87427C" w14:textId="77777777" w:rsidR="00983F14" w:rsidRPr="000D2664" w:rsidRDefault="00983F14"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0C0E62E5" w14:textId="12F1CD55" w:rsidR="00983F14" w:rsidRPr="000D2664" w:rsidRDefault="00983F14" w:rsidP="00983F14">
            <w:pPr>
              <w:pStyle w:val="Default"/>
              <w:spacing w:line="276" w:lineRule="auto"/>
              <w:rPr>
                <w:rFonts w:ascii="Arial" w:eastAsia="Times New Roman" w:hAnsi="Arial" w:cs="Arial"/>
                <w:color w:val="auto"/>
              </w:rPr>
            </w:pPr>
            <w:r w:rsidRPr="006A3327">
              <w:rPr>
                <w:rFonts w:ascii="Arial" w:eastAsia="Times New Roman" w:hAnsi="Arial" w:cs="Arial"/>
                <w:color w:val="auto"/>
              </w:rPr>
              <w:t>W ramach wskaźnika mierzona będzie liczba przedsięwzięć dotyczących transformacji w kierunku celów środowiskowych zrównoważonego rozwoju, w tym gospodarki o obiegu zamkniętym, łagodzenia zmian klimatu i adaptacji do zmian klimatu oraz wszystkich innych działań związanych z tzw. zazielenianiem przedsiębiorstw (w tym wdrożeniem wyników B+R związanych ze zrównoważonym rozwojem) realizowanych w ramach projektu. Wartość wskaźnika wyliczana jest jako suma wszystkich przedsięwzięć proekologicznych realizowanych przez Beneficjenta, Partnerów</w:t>
            </w:r>
            <w:r>
              <w:rPr>
                <w:rFonts w:ascii="Arial" w:eastAsia="Times New Roman" w:hAnsi="Arial" w:cs="Arial"/>
                <w:color w:val="auto"/>
              </w:rPr>
              <w:t xml:space="preserve"> oraz </w:t>
            </w:r>
            <w:proofErr w:type="spellStart"/>
            <w:r>
              <w:rPr>
                <w:rFonts w:ascii="Arial" w:eastAsia="Times New Roman" w:hAnsi="Arial" w:cs="Arial"/>
                <w:color w:val="auto"/>
              </w:rPr>
              <w:t>Grantobiorców</w:t>
            </w:r>
            <w:proofErr w:type="spellEnd"/>
            <w:r>
              <w:rPr>
                <w:rFonts w:ascii="Arial" w:eastAsia="Times New Roman" w:hAnsi="Arial" w:cs="Arial"/>
                <w:color w:val="auto"/>
              </w:rPr>
              <w:t>/</w:t>
            </w:r>
            <w:r w:rsidRPr="006A3327">
              <w:rPr>
                <w:rFonts w:ascii="Arial" w:eastAsia="Times New Roman" w:hAnsi="Arial" w:cs="Arial"/>
                <w:color w:val="auto"/>
              </w:rPr>
              <w:t>Odbiorców Ostatecznych (o ile występują) w ramach jednego projektu. Przedsięwzięcie należy rozumieć jako całościowy i zakończony proces realizowany w ramach projektu tj. np. od opracowania technologii proekologicznej do jej wdrożenia, bądź wdrożenie wcześniej opracowanej lub zakupionej technologii, lub prace badawcze bądź badawczo-rozwojowe prowadzone nad tego rodzaju technologią lub produktem. Należy podkreślić, iż pojedyncze działania (np. poszczególne etapy procesu badawczego) prowadzone przez Beneficjenta,</w:t>
            </w:r>
            <w:r>
              <w:rPr>
                <w:rFonts w:ascii="Arial" w:eastAsia="Times New Roman" w:hAnsi="Arial" w:cs="Arial"/>
                <w:color w:val="auto"/>
              </w:rPr>
              <w:t xml:space="preserve"> Partnerów oraz </w:t>
            </w:r>
            <w:proofErr w:type="spellStart"/>
            <w:r>
              <w:rPr>
                <w:rFonts w:ascii="Arial" w:eastAsia="Times New Roman" w:hAnsi="Arial" w:cs="Arial"/>
                <w:color w:val="auto"/>
              </w:rPr>
              <w:t>Grantobiorców</w:t>
            </w:r>
            <w:proofErr w:type="spellEnd"/>
            <w:r>
              <w:rPr>
                <w:rFonts w:ascii="Arial" w:eastAsia="Times New Roman" w:hAnsi="Arial" w:cs="Arial"/>
                <w:color w:val="auto"/>
              </w:rPr>
              <w:t>/</w:t>
            </w:r>
            <w:r w:rsidRPr="006A3327">
              <w:rPr>
                <w:rFonts w:ascii="Arial" w:eastAsia="Times New Roman" w:hAnsi="Arial" w:cs="Arial"/>
                <w:color w:val="auto"/>
              </w:rPr>
              <w:t>Odbiorców Ostatecznych(o ile występują) w ramach projektu nie stanowią odrębnych inwestycji proekologicznych. W rezultacie wszystkie działania dokonywane przez Beneficjenta, Partnerów</w:t>
            </w:r>
            <w:r>
              <w:rPr>
                <w:rFonts w:ascii="Arial" w:eastAsia="Times New Roman" w:hAnsi="Arial" w:cs="Arial"/>
                <w:color w:val="auto"/>
              </w:rPr>
              <w:t xml:space="preserve"> oraz </w:t>
            </w:r>
            <w:proofErr w:type="spellStart"/>
            <w:r>
              <w:rPr>
                <w:rFonts w:ascii="Arial" w:eastAsia="Times New Roman" w:hAnsi="Arial" w:cs="Arial"/>
                <w:color w:val="auto"/>
              </w:rPr>
              <w:t>Grantobiorców</w:t>
            </w:r>
            <w:proofErr w:type="spellEnd"/>
            <w:r>
              <w:rPr>
                <w:rFonts w:ascii="Arial" w:eastAsia="Times New Roman" w:hAnsi="Arial" w:cs="Arial"/>
                <w:color w:val="auto"/>
              </w:rPr>
              <w:t>/</w:t>
            </w:r>
            <w:r w:rsidRPr="006A3327">
              <w:rPr>
                <w:rFonts w:ascii="Arial" w:eastAsia="Times New Roman" w:hAnsi="Arial" w:cs="Arial"/>
                <w:color w:val="auto"/>
              </w:rPr>
              <w:t>Odbiorców Ostatecznych (o ile występują) składają się na jedno (lub kilka) przedsięwzięć proekologicznych określonych we wniosku o dofinansowanie.</w:t>
            </w:r>
            <w:r>
              <w:rPr>
                <w:rFonts w:ascii="Arial" w:eastAsia="Times New Roman" w:hAnsi="Arial" w:cs="Arial"/>
                <w:color w:val="auto"/>
              </w:rPr>
              <w:t xml:space="preserve"> </w:t>
            </w:r>
            <w:r w:rsidRPr="006A3327">
              <w:rPr>
                <w:rFonts w:ascii="Arial" w:eastAsia="Times New Roman" w:hAnsi="Arial" w:cs="Arial"/>
                <w:color w:val="auto"/>
              </w:rPr>
              <w:t xml:space="preserve">Dla przykładu, jeśli Beneficjent zamawia w projekcie kilka </w:t>
            </w:r>
            <w:r w:rsidRPr="006A3327">
              <w:rPr>
                <w:rFonts w:ascii="Arial" w:eastAsia="Times New Roman" w:hAnsi="Arial" w:cs="Arial"/>
                <w:color w:val="auto"/>
              </w:rPr>
              <w:lastRenderedPageBreak/>
              <w:t>różnych prac B+R prowadzonych nad różnymi technologiami przez konkurujących ze sobą wykonawców, z których każdy ma za zadanie dostarczyć określony wynik, w osiągniętej wartości wskaźnika należy uwzględnić działania każdego z wykonawców odrębnie.</w:t>
            </w:r>
          </w:p>
        </w:tc>
      </w:tr>
    </w:tbl>
    <w:p w14:paraId="61272ABA" w14:textId="77777777" w:rsidR="00B3109B" w:rsidRPr="000D2664" w:rsidRDefault="00B3109B" w:rsidP="00983F14">
      <w:pPr>
        <w:spacing w:after="0" w:line="276" w:lineRule="auto"/>
        <w:rPr>
          <w:rFonts w:ascii="Arial" w:hAnsi="Arial" w:cs="Arial"/>
          <w:b/>
          <w:sz w:val="24"/>
          <w:szCs w:val="24"/>
        </w:rPr>
      </w:pPr>
      <w:r w:rsidRPr="000D2664">
        <w:rPr>
          <w:rFonts w:ascii="Arial" w:hAnsi="Arial" w:cs="Arial"/>
          <w:b/>
          <w:sz w:val="24"/>
          <w:szCs w:val="24"/>
        </w:rPr>
        <w:lastRenderedPageBreak/>
        <w:t>Wskaźniki informacyjne stosowane w ramach wszystkich celów szczegółowych</w:t>
      </w:r>
    </w:p>
    <w:p w14:paraId="369F07A0" w14:textId="77777777" w:rsidR="00B3109B" w:rsidRPr="000D2664" w:rsidRDefault="00B3109B" w:rsidP="00983F14">
      <w:pPr>
        <w:spacing w:after="0" w:line="276" w:lineRule="auto"/>
        <w:rPr>
          <w:rFonts w:ascii="Arial" w:hAnsi="Arial" w:cs="Arial"/>
          <w:sz w:val="24"/>
          <w:szCs w:val="24"/>
        </w:rPr>
      </w:pPr>
    </w:p>
    <w:p w14:paraId="52EACA86" w14:textId="77777777" w:rsidR="00C80A88" w:rsidRDefault="00C80A88" w:rsidP="00C80A88">
      <w:pPr>
        <w:spacing w:after="0" w:line="276" w:lineRule="auto"/>
        <w:rPr>
          <w:rFonts w:ascii="Arial" w:hAnsi="Arial" w:cs="Arial"/>
          <w:sz w:val="24"/>
          <w:szCs w:val="24"/>
        </w:rPr>
      </w:pPr>
      <w:r>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14684F06" w14:textId="77777777" w:rsidR="00C80A88" w:rsidRDefault="00C80A88" w:rsidP="00C80A88">
      <w:pPr>
        <w:spacing w:after="0" w:line="276" w:lineRule="auto"/>
        <w:rPr>
          <w:rFonts w:ascii="Arial" w:hAnsi="Arial" w:cs="Arial"/>
          <w:sz w:val="24"/>
          <w:szCs w:val="24"/>
        </w:rPr>
      </w:pPr>
      <w:r>
        <w:rPr>
          <w:rFonts w:ascii="Arial" w:hAnsi="Arial" w:cs="Arial"/>
          <w:sz w:val="24"/>
          <w:szCs w:val="24"/>
        </w:rPr>
        <w:t>Wartość docelową wskaźników informacyjnych w ramach projektów EFRR/FST określa się na poziomie „0”.</w:t>
      </w:r>
    </w:p>
    <w:p w14:paraId="00AC5294" w14:textId="77777777" w:rsidR="00C80A88" w:rsidRDefault="00C80A88" w:rsidP="00C80A88">
      <w:pPr>
        <w:spacing w:after="0" w:line="276" w:lineRule="auto"/>
        <w:rPr>
          <w:rFonts w:ascii="Arial" w:hAnsi="Arial" w:cs="Arial"/>
          <w:sz w:val="24"/>
          <w:szCs w:val="24"/>
          <w:highlight w:val="green"/>
        </w:rPr>
      </w:pPr>
      <w:r>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6DE8B07C" w14:textId="77777777" w:rsidR="00C80A88" w:rsidRDefault="00C80A88" w:rsidP="00C80A88">
      <w:pPr>
        <w:spacing w:after="0" w:line="276" w:lineRule="auto"/>
        <w:rPr>
          <w:rFonts w:ascii="Arial" w:hAnsi="Arial" w:cs="Arial"/>
          <w:sz w:val="24"/>
          <w:szCs w:val="24"/>
        </w:rPr>
      </w:pPr>
      <w:r>
        <w:rPr>
          <w:rFonts w:ascii="Arial" w:hAnsi="Arial" w:cs="Arial"/>
          <w:sz w:val="24"/>
          <w:szCs w:val="24"/>
        </w:rPr>
        <w:t>Poziom wykonania wskaźników informacyjnych w projekcie nie stanowi przedmiotu rozliczenia z Beneficjentem.</w:t>
      </w:r>
    </w:p>
    <w:p w14:paraId="05BA9EBA" w14:textId="08780C21" w:rsidR="0058240C" w:rsidRPr="000D2664" w:rsidRDefault="0058240C" w:rsidP="00983F14">
      <w:pPr>
        <w:spacing w:after="0" w:line="276" w:lineRule="auto"/>
        <w:jc w:val="both"/>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6862AF" w:rsidRPr="000D2664" w14:paraId="52A94AD5" w14:textId="77777777" w:rsidTr="00AD5DBA">
        <w:tc>
          <w:tcPr>
            <w:tcW w:w="2482" w:type="dxa"/>
            <w:shd w:val="clear" w:color="auto" w:fill="auto"/>
          </w:tcPr>
          <w:p w14:paraId="58D43DB3" w14:textId="77777777" w:rsidR="006862AF" w:rsidRPr="000D2664" w:rsidRDefault="006862AF" w:rsidP="00983F14">
            <w:pPr>
              <w:spacing w:after="0" w:line="276" w:lineRule="auto"/>
              <w:rPr>
                <w:rFonts w:ascii="Arial" w:hAnsi="Arial" w:cs="Arial"/>
                <w:b/>
                <w:sz w:val="24"/>
                <w:szCs w:val="24"/>
              </w:rPr>
            </w:pPr>
            <w:r w:rsidRPr="000D2664">
              <w:rPr>
                <w:rFonts w:ascii="Arial" w:hAnsi="Arial" w:cs="Arial"/>
                <w:sz w:val="24"/>
                <w:szCs w:val="24"/>
              </w:rPr>
              <w:t>Nazwa wskaźnika</w:t>
            </w:r>
          </w:p>
        </w:tc>
        <w:tc>
          <w:tcPr>
            <w:tcW w:w="7016" w:type="dxa"/>
            <w:shd w:val="clear" w:color="auto" w:fill="auto"/>
          </w:tcPr>
          <w:p w14:paraId="614FEFA4" w14:textId="77777777" w:rsidR="006862AF" w:rsidRPr="000D2664" w:rsidRDefault="007C445D" w:rsidP="00983F14">
            <w:pPr>
              <w:spacing w:after="0" w:line="276" w:lineRule="auto"/>
              <w:rPr>
                <w:rFonts w:ascii="Arial" w:hAnsi="Arial" w:cs="Arial"/>
                <w:b/>
                <w:sz w:val="24"/>
                <w:szCs w:val="24"/>
              </w:rPr>
            </w:pPr>
            <w:r w:rsidRPr="000D2664">
              <w:rPr>
                <w:rFonts w:ascii="Arial" w:hAnsi="Arial" w:cs="Arial"/>
                <w:b/>
                <w:sz w:val="24"/>
                <w:szCs w:val="24"/>
              </w:rPr>
              <w:t>Liczba obiektów dostosowanych do potrzeb osób z niepełnosprawnościami (EFRR/FST/FS)</w:t>
            </w:r>
          </w:p>
        </w:tc>
      </w:tr>
      <w:tr w:rsidR="006862AF" w:rsidRPr="000D2664" w14:paraId="146FA1E1" w14:textId="77777777" w:rsidTr="00AD5DBA">
        <w:tc>
          <w:tcPr>
            <w:tcW w:w="2482" w:type="dxa"/>
            <w:shd w:val="clear" w:color="auto" w:fill="auto"/>
          </w:tcPr>
          <w:p w14:paraId="43A8A891" w14:textId="77777777" w:rsidR="006862AF" w:rsidRPr="000D2664" w:rsidRDefault="006862AF"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38579EB0" w14:textId="77777777" w:rsidR="006862AF" w:rsidRPr="000D2664" w:rsidRDefault="007C445D" w:rsidP="00983F14">
            <w:pPr>
              <w:spacing w:after="0" w:line="276" w:lineRule="auto"/>
              <w:rPr>
                <w:rFonts w:ascii="Arial" w:hAnsi="Arial" w:cs="Arial"/>
                <w:sz w:val="24"/>
                <w:szCs w:val="24"/>
              </w:rPr>
            </w:pPr>
            <w:r w:rsidRPr="000D2664">
              <w:rPr>
                <w:rFonts w:ascii="Arial" w:hAnsi="Arial" w:cs="Arial"/>
                <w:sz w:val="24"/>
                <w:szCs w:val="24"/>
              </w:rPr>
              <w:t>PLRO132</w:t>
            </w:r>
          </w:p>
        </w:tc>
      </w:tr>
      <w:tr w:rsidR="006862AF" w:rsidRPr="000D2664" w14:paraId="528C982A" w14:textId="77777777" w:rsidTr="00AD5DBA">
        <w:tc>
          <w:tcPr>
            <w:tcW w:w="2482" w:type="dxa"/>
            <w:shd w:val="clear" w:color="auto" w:fill="auto"/>
          </w:tcPr>
          <w:p w14:paraId="19A1E359" w14:textId="77777777" w:rsidR="006862AF" w:rsidRPr="000D2664" w:rsidRDefault="006862AF"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729B800E" w14:textId="77777777" w:rsidR="006862AF" w:rsidRPr="000D2664" w:rsidRDefault="007C445D" w:rsidP="00983F14">
            <w:pPr>
              <w:spacing w:after="0" w:line="276" w:lineRule="auto"/>
              <w:rPr>
                <w:rFonts w:ascii="Arial" w:hAnsi="Arial" w:cs="Arial"/>
                <w:sz w:val="24"/>
                <w:szCs w:val="24"/>
              </w:rPr>
            </w:pPr>
            <w:r w:rsidRPr="000D2664">
              <w:rPr>
                <w:rFonts w:ascii="Arial" w:hAnsi="Arial" w:cs="Arial"/>
                <w:sz w:val="24"/>
                <w:szCs w:val="24"/>
              </w:rPr>
              <w:t>szt.</w:t>
            </w:r>
          </w:p>
        </w:tc>
      </w:tr>
      <w:tr w:rsidR="006862AF" w:rsidRPr="000D2664" w14:paraId="69335727" w14:textId="77777777" w:rsidTr="00AD5DBA">
        <w:tc>
          <w:tcPr>
            <w:tcW w:w="2482" w:type="dxa"/>
            <w:shd w:val="clear" w:color="auto" w:fill="auto"/>
          </w:tcPr>
          <w:p w14:paraId="76B65F7E" w14:textId="77777777" w:rsidR="006862AF" w:rsidRPr="000D2664" w:rsidRDefault="006862AF"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4D7A559D" w14:textId="77777777" w:rsidR="006862AF" w:rsidRPr="000D2664" w:rsidRDefault="007C445D" w:rsidP="00983F14">
            <w:pPr>
              <w:spacing w:after="0" w:line="276" w:lineRule="auto"/>
              <w:rPr>
                <w:rFonts w:ascii="Arial" w:hAnsi="Arial" w:cs="Arial"/>
                <w:sz w:val="24"/>
                <w:szCs w:val="24"/>
              </w:rPr>
            </w:pPr>
            <w:r w:rsidRPr="000D2664">
              <w:rPr>
                <w:rFonts w:ascii="Arial" w:hAnsi="Arial" w:cs="Arial"/>
                <w:sz w:val="24"/>
                <w:szCs w:val="24"/>
              </w:rPr>
              <w:t>Produkt</w:t>
            </w:r>
            <w:r w:rsidR="00593919" w:rsidRPr="000D2664">
              <w:rPr>
                <w:rFonts w:ascii="Arial" w:hAnsi="Arial" w:cs="Arial"/>
                <w:sz w:val="24"/>
                <w:szCs w:val="24"/>
              </w:rPr>
              <w:t xml:space="preserve"> </w:t>
            </w:r>
            <w:r w:rsidR="00593919" w:rsidRPr="00030D64">
              <w:rPr>
                <w:rFonts w:ascii="Arial" w:hAnsi="Arial" w:cs="Arial"/>
                <w:color w:val="000000"/>
                <w:sz w:val="24"/>
                <w:szCs w:val="24"/>
              </w:rPr>
              <w:t>(obowiązkowy)</w:t>
            </w:r>
          </w:p>
        </w:tc>
      </w:tr>
      <w:tr w:rsidR="00593919" w:rsidRPr="000D2664" w14:paraId="63ED7EA2" w14:textId="77777777" w:rsidTr="00AD5DBA">
        <w:tc>
          <w:tcPr>
            <w:tcW w:w="2482" w:type="dxa"/>
            <w:tcBorders>
              <w:bottom w:val="single" w:sz="4" w:space="0" w:color="auto"/>
            </w:tcBorders>
            <w:shd w:val="clear" w:color="auto" w:fill="auto"/>
          </w:tcPr>
          <w:p w14:paraId="71A35B51" w14:textId="77777777" w:rsidR="00593919" w:rsidRPr="000D2664" w:rsidRDefault="00593919"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22F31EB3" w14:textId="77777777" w:rsidR="00593919" w:rsidRPr="000D2664" w:rsidRDefault="00663785"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14:paraId="2920033D" w14:textId="77777777" w:rsidR="00A42B71" w:rsidRPr="000D2664" w:rsidRDefault="00A42B71" w:rsidP="00983F1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B71" w:rsidRPr="000D2664" w14:paraId="687D624F" w14:textId="77777777" w:rsidTr="0090552A">
        <w:tc>
          <w:tcPr>
            <w:tcW w:w="2482" w:type="dxa"/>
            <w:shd w:val="clear" w:color="auto" w:fill="auto"/>
          </w:tcPr>
          <w:p w14:paraId="4C2914B3" w14:textId="77777777" w:rsidR="00A42B71" w:rsidRPr="000D2664" w:rsidRDefault="00A42B71" w:rsidP="00983F14">
            <w:pPr>
              <w:spacing w:after="0" w:line="276" w:lineRule="auto"/>
              <w:rPr>
                <w:rFonts w:ascii="Arial" w:hAnsi="Arial" w:cs="Arial"/>
                <w:b/>
                <w:sz w:val="24"/>
                <w:szCs w:val="24"/>
              </w:rPr>
            </w:pPr>
            <w:r w:rsidRPr="000D2664">
              <w:rPr>
                <w:rFonts w:ascii="Arial" w:hAnsi="Arial" w:cs="Arial"/>
                <w:sz w:val="24"/>
                <w:szCs w:val="24"/>
              </w:rPr>
              <w:lastRenderedPageBreak/>
              <w:t>Nazwa wskaźnika</w:t>
            </w:r>
          </w:p>
        </w:tc>
        <w:tc>
          <w:tcPr>
            <w:tcW w:w="7016" w:type="dxa"/>
            <w:shd w:val="clear" w:color="auto" w:fill="auto"/>
          </w:tcPr>
          <w:p w14:paraId="5F0BF330" w14:textId="77777777" w:rsidR="00A42B71" w:rsidRPr="000D2664" w:rsidRDefault="007C445D" w:rsidP="00983F14">
            <w:pPr>
              <w:spacing w:after="0" w:line="276" w:lineRule="auto"/>
              <w:rPr>
                <w:rFonts w:ascii="Arial" w:hAnsi="Arial" w:cs="Arial"/>
                <w:b/>
                <w:sz w:val="24"/>
                <w:szCs w:val="24"/>
              </w:rPr>
            </w:pPr>
            <w:r w:rsidRPr="000D2664">
              <w:rPr>
                <w:rFonts w:ascii="Arial" w:hAnsi="Arial" w:cs="Arial"/>
                <w:b/>
                <w:sz w:val="24"/>
                <w:szCs w:val="24"/>
              </w:rPr>
              <w:t xml:space="preserve">Liczba projektów, w których sfinansowano koszty racjonalnych usprawnień dla osób z niepełnosprawnościami </w:t>
            </w:r>
            <w:r w:rsidR="007664E2" w:rsidRPr="000D2664">
              <w:rPr>
                <w:rFonts w:ascii="Arial" w:hAnsi="Arial" w:cs="Arial"/>
                <w:b/>
                <w:sz w:val="24"/>
                <w:szCs w:val="24"/>
              </w:rPr>
              <w:t>(EFRR/FST/FS)</w:t>
            </w:r>
          </w:p>
        </w:tc>
      </w:tr>
      <w:tr w:rsidR="00A42B71" w:rsidRPr="000D2664" w14:paraId="2F375A61" w14:textId="77777777" w:rsidTr="0090552A">
        <w:tc>
          <w:tcPr>
            <w:tcW w:w="2482" w:type="dxa"/>
            <w:shd w:val="clear" w:color="auto" w:fill="auto"/>
          </w:tcPr>
          <w:p w14:paraId="2D3163CA" w14:textId="77777777" w:rsidR="00A42B71" w:rsidRPr="000D2664" w:rsidRDefault="00A42B71" w:rsidP="00983F14">
            <w:pPr>
              <w:spacing w:after="0" w:line="276" w:lineRule="auto"/>
              <w:rPr>
                <w:rFonts w:ascii="Arial" w:hAnsi="Arial" w:cs="Arial"/>
                <w:sz w:val="24"/>
                <w:szCs w:val="24"/>
              </w:rPr>
            </w:pPr>
            <w:r w:rsidRPr="000D2664">
              <w:rPr>
                <w:rFonts w:ascii="Arial" w:hAnsi="Arial" w:cs="Arial"/>
                <w:sz w:val="24"/>
                <w:szCs w:val="24"/>
              </w:rPr>
              <w:t>Kod wskaźnika</w:t>
            </w:r>
          </w:p>
        </w:tc>
        <w:tc>
          <w:tcPr>
            <w:tcW w:w="7016" w:type="dxa"/>
            <w:shd w:val="clear" w:color="auto" w:fill="auto"/>
          </w:tcPr>
          <w:p w14:paraId="5ACE1638" w14:textId="77777777" w:rsidR="00A42B71" w:rsidRPr="000D2664" w:rsidRDefault="007C445D" w:rsidP="00983F14">
            <w:pPr>
              <w:spacing w:after="0" w:line="276" w:lineRule="auto"/>
              <w:rPr>
                <w:rFonts w:ascii="Arial" w:hAnsi="Arial" w:cs="Arial"/>
                <w:sz w:val="24"/>
                <w:szCs w:val="24"/>
              </w:rPr>
            </w:pPr>
            <w:r w:rsidRPr="000D2664">
              <w:rPr>
                <w:rFonts w:ascii="Arial" w:hAnsi="Arial" w:cs="Arial"/>
                <w:sz w:val="24"/>
                <w:szCs w:val="24"/>
              </w:rPr>
              <w:t>PLRO199</w:t>
            </w:r>
          </w:p>
        </w:tc>
      </w:tr>
      <w:tr w:rsidR="00A42B71" w:rsidRPr="000D2664" w14:paraId="6925623B" w14:textId="77777777" w:rsidTr="0090552A">
        <w:tc>
          <w:tcPr>
            <w:tcW w:w="2482" w:type="dxa"/>
            <w:shd w:val="clear" w:color="auto" w:fill="auto"/>
          </w:tcPr>
          <w:p w14:paraId="799314A0" w14:textId="77777777" w:rsidR="00A42B71" w:rsidRPr="000D2664" w:rsidRDefault="00A42B71" w:rsidP="00983F14">
            <w:pPr>
              <w:spacing w:after="0" w:line="276" w:lineRule="auto"/>
              <w:rPr>
                <w:rFonts w:ascii="Arial" w:hAnsi="Arial" w:cs="Arial"/>
                <w:sz w:val="24"/>
                <w:szCs w:val="24"/>
              </w:rPr>
            </w:pPr>
            <w:r w:rsidRPr="000D2664">
              <w:rPr>
                <w:rFonts w:ascii="Arial" w:hAnsi="Arial" w:cs="Arial"/>
                <w:sz w:val="24"/>
                <w:szCs w:val="24"/>
              </w:rPr>
              <w:t>Jednostka miary</w:t>
            </w:r>
          </w:p>
        </w:tc>
        <w:tc>
          <w:tcPr>
            <w:tcW w:w="7016" w:type="dxa"/>
            <w:shd w:val="clear" w:color="auto" w:fill="auto"/>
          </w:tcPr>
          <w:p w14:paraId="1A8B32B7" w14:textId="77777777" w:rsidR="00A42B71" w:rsidRPr="000D2664" w:rsidRDefault="00A42B71" w:rsidP="00983F14">
            <w:pPr>
              <w:spacing w:after="0" w:line="276" w:lineRule="auto"/>
              <w:rPr>
                <w:rFonts w:ascii="Arial" w:hAnsi="Arial" w:cs="Arial"/>
                <w:sz w:val="24"/>
                <w:szCs w:val="24"/>
              </w:rPr>
            </w:pPr>
            <w:r w:rsidRPr="000D2664">
              <w:rPr>
                <w:rFonts w:ascii="Arial" w:hAnsi="Arial" w:cs="Arial"/>
                <w:sz w:val="24"/>
                <w:szCs w:val="24"/>
              </w:rPr>
              <w:t>szt.</w:t>
            </w:r>
          </w:p>
        </w:tc>
      </w:tr>
      <w:tr w:rsidR="00A42B71" w:rsidRPr="000D2664" w14:paraId="23339715" w14:textId="77777777" w:rsidTr="0090552A">
        <w:tc>
          <w:tcPr>
            <w:tcW w:w="2482" w:type="dxa"/>
            <w:shd w:val="clear" w:color="auto" w:fill="auto"/>
          </w:tcPr>
          <w:p w14:paraId="5A3663C6" w14:textId="77777777" w:rsidR="00A42B71" w:rsidRPr="000D2664" w:rsidRDefault="00A42B71" w:rsidP="00983F14">
            <w:pPr>
              <w:spacing w:after="0" w:line="276" w:lineRule="auto"/>
              <w:rPr>
                <w:rFonts w:ascii="Arial" w:hAnsi="Arial" w:cs="Arial"/>
                <w:b/>
                <w:bCs/>
                <w:sz w:val="24"/>
                <w:szCs w:val="24"/>
              </w:rPr>
            </w:pPr>
            <w:r w:rsidRPr="000D2664">
              <w:rPr>
                <w:rFonts w:ascii="Arial" w:hAnsi="Arial" w:cs="Arial"/>
                <w:sz w:val="24"/>
                <w:szCs w:val="24"/>
              </w:rPr>
              <w:t>Rodzaj wskaźnika</w:t>
            </w:r>
          </w:p>
        </w:tc>
        <w:tc>
          <w:tcPr>
            <w:tcW w:w="7016" w:type="dxa"/>
            <w:shd w:val="clear" w:color="auto" w:fill="auto"/>
          </w:tcPr>
          <w:p w14:paraId="739E83CF" w14:textId="77777777" w:rsidR="00A42B71" w:rsidRPr="000D2664" w:rsidRDefault="007C445D" w:rsidP="00983F14">
            <w:pPr>
              <w:spacing w:after="0" w:line="276" w:lineRule="auto"/>
              <w:rPr>
                <w:rFonts w:ascii="Arial" w:hAnsi="Arial" w:cs="Arial"/>
                <w:sz w:val="24"/>
                <w:szCs w:val="24"/>
              </w:rPr>
            </w:pPr>
            <w:r w:rsidRPr="000D2664">
              <w:rPr>
                <w:rFonts w:ascii="Arial" w:hAnsi="Arial" w:cs="Arial"/>
                <w:sz w:val="24"/>
                <w:szCs w:val="24"/>
              </w:rPr>
              <w:t xml:space="preserve">Produkt </w:t>
            </w:r>
            <w:r w:rsidRPr="00030D64">
              <w:rPr>
                <w:rFonts w:ascii="Arial" w:hAnsi="Arial" w:cs="Arial"/>
                <w:color w:val="000000"/>
                <w:sz w:val="24"/>
                <w:szCs w:val="24"/>
              </w:rPr>
              <w:t>(obowiązkowy)</w:t>
            </w:r>
          </w:p>
        </w:tc>
      </w:tr>
      <w:tr w:rsidR="00A42B71" w:rsidRPr="000D2664" w14:paraId="2B1A8338" w14:textId="77777777" w:rsidTr="0090552A">
        <w:tc>
          <w:tcPr>
            <w:tcW w:w="2482" w:type="dxa"/>
            <w:tcBorders>
              <w:bottom w:val="single" w:sz="4" w:space="0" w:color="auto"/>
            </w:tcBorders>
            <w:shd w:val="clear" w:color="auto" w:fill="auto"/>
          </w:tcPr>
          <w:p w14:paraId="0D37D646" w14:textId="77777777" w:rsidR="00A42B71" w:rsidRPr="000D2664" w:rsidRDefault="00A42B71" w:rsidP="00983F14">
            <w:pPr>
              <w:spacing w:after="0" w:line="276" w:lineRule="auto"/>
              <w:rPr>
                <w:rFonts w:ascii="Arial" w:hAnsi="Arial" w:cs="Arial"/>
                <w:b/>
                <w:bCs/>
                <w:sz w:val="24"/>
                <w:szCs w:val="24"/>
                <w:lang w:val="en-US"/>
              </w:rPr>
            </w:pPr>
            <w:r w:rsidRPr="000D2664">
              <w:rPr>
                <w:rFonts w:ascii="Arial" w:hAnsi="Arial" w:cs="Arial"/>
                <w:sz w:val="24"/>
                <w:szCs w:val="24"/>
              </w:rPr>
              <w:t>Definicja wskaźnika</w:t>
            </w:r>
          </w:p>
        </w:tc>
        <w:tc>
          <w:tcPr>
            <w:tcW w:w="7016" w:type="dxa"/>
            <w:tcBorders>
              <w:bottom w:val="single" w:sz="4" w:space="0" w:color="auto"/>
            </w:tcBorders>
            <w:shd w:val="clear" w:color="auto" w:fill="auto"/>
          </w:tcPr>
          <w:p w14:paraId="32240682" w14:textId="77777777" w:rsidR="00A42B71" w:rsidRPr="000D2664" w:rsidRDefault="00663785" w:rsidP="00983F14">
            <w:pPr>
              <w:pStyle w:val="Default"/>
              <w:spacing w:line="276" w:lineRule="auto"/>
              <w:rPr>
                <w:rFonts w:ascii="Arial" w:eastAsia="Times New Roman" w:hAnsi="Arial" w:cs="Arial"/>
                <w:color w:val="auto"/>
              </w:rPr>
            </w:pPr>
            <w:r w:rsidRPr="000D2664">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3BA4D601" w14:textId="173B54EC" w:rsidR="00556F51" w:rsidRPr="00694ADC" w:rsidRDefault="0097660B" w:rsidP="00983F14">
      <w:pPr>
        <w:spacing w:after="0" w:line="276" w:lineRule="auto"/>
        <w:rPr>
          <w:rFonts w:ascii="Arial" w:hAnsi="Arial" w:cs="Arial"/>
          <w:sz w:val="20"/>
          <w:szCs w:val="20"/>
        </w:rPr>
      </w:pPr>
      <w:r w:rsidRPr="00694ADC">
        <w:rPr>
          <w:rFonts w:ascii="Arial" w:hAnsi="Arial" w:cs="Arial"/>
          <w:sz w:val="20"/>
          <w:szCs w:val="20"/>
        </w:rPr>
        <w:t>Definicje zostały opracowane na podstawie: Listy Wsk</w:t>
      </w:r>
      <w:r w:rsidR="00044C5F" w:rsidRPr="00694ADC">
        <w:rPr>
          <w:rFonts w:ascii="Arial" w:hAnsi="Arial" w:cs="Arial"/>
          <w:sz w:val="20"/>
          <w:szCs w:val="20"/>
        </w:rPr>
        <w:t xml:space="preserve">aźników Kluczowych </w:t>
      </w:r>
      <w:r w:rsidR="001473EF" w:rsidRPr="00694ADC">
        <w:rPr>
          <w:rFonts w:ascii="Arial" w:hAnsi="Arial" w:cs="Arial"/>
          <w:sz w:val="20"/>
          <w:szCs w:val="20"/>
        </w:rPr>
        <w:t>EFRR</w:t>
      </w:r>
      <w:r w:rsidR="00044C5F" w:rsidRPr="00694ADC">
        <w:rPr>
          <w:rFonts w:ascii="Arial" w:hAnsi="Arial" w:cs="Arial"/>
          <w:sz w:val="20"/>
          <w:szCs w:val="20"/>
        </w:rPr>
        <w:t xml:space="preserve"> </w:t>
      </w:r>
      <w:r w:rsidR="002814CE" w:rsidRPr="00694ADC">
        <w:rPr>
          <w:rFonts w:ascii="Arial" w:hAnsi="Arial" w:cs="Arial"/>
          <w:sz w:val="20"/>
          <w:szCs w:val="20"/>
        </w:rPr>
        <w:t xml:space="preserve">(obowiązkowych) </w:t>
      </w:r>
      <w:r w:rsidR="00084E2E" w:rsidRPr="00694ADC">
        <w:rPr>
          <w:rFonts w:ascii="Arial" w:hAnsi="Arial" w:cs="Arial"/>
          <w:sz w:val="20"/>
          <w:szCs w:val="20"/>
        </w:rPr>
        <w:t>obowiązującej od dnia</w:t>
      </w:r>
      <w:r w:rsidR="00044C5F" w:rsidRPr="00694ADC">
        <w:rPr>
          <w:rFonts w:ascii="Arial" w:hAnsi="Arial" w:cs="Arial"/>
          <w:sz w:val="20"/>
          <w:szCs w:val="20"/>
        </w:rPr>
        <w:t xml:space="preserve"> </w:t>
      </w:r>
      <w:r w:rsidR="001B03C8" w:rsidRPr="00694ADC">
        <w:rPr>
          <w:rFonts w:ascii="Arial" w:hAnsi="Arial" w:cs="Arial"/>
          <w:color w:val="000000" w:themeColor="text1"/>
          <w:sz w:val="20"/>
          <w:szCs w:val="20"/>
        </w:rPr>
        <w:t>28.03</w:t>
      </w:r>
      <w:r w:rsidR="00EE4244" w:rsidRPr="00694ADC">
        <w:rPr>
          <w:rFonts w:ascii="Arial" w:hAnsi="Arial" w:cs="Arial"/>
          <w:color w:val="000000" w:themeColor="text1"/>
          <w:sz w:val="20"/>
          <w:szCs w:val="20"/>
        </w:rPr>
        <w:t>.2024</w:t>
      </w:r>
      <w:r w:rsidR="009A1DF5" w:rsidRPr="00694ADC">
        <w:rPr>
          <w:rFonts w:ascii="Arial" w:hAnsi="Arial" w:cs="Arial"/>
          <w:color w:val="000000" w:themeColor="text1"/>
          <w:sz w:val="20"/>
          <w:szCs w:val="20"/>
        </w:rPr>
        <w:t xml:space="preserve"> r.</w:t>
      </w:r>
    </w:p>
    <w:p w14:paraId="3DB2B357" w14:textId="77777777" w:rsidR="00556F51" w:rsidRPr="00694ADC" w:rsidRDefault="00556F51" w:rsidP="00663785">
      <w:pPr>
        <w:spacing w:line="276" w:lineRule="auto"/>
        <w:rPr>
          <w:rFonts w:ascii="Arial" w:hAnsi="Arial" w:cs="Arial"/>
          <w:sz w:val="24"/>
          <w:szCs w:val="24"/>
        </w:rPr>
      </w:pPr>
    </w:p>
    <w:sectPr w:rsidR="00556F51" w:rsidRPr="00694ADC" w:rsidSect="00B8252C">
      <w:footerReference w:type="default" r:id="rId11"/>
      <w:headerReference w:type="first" r:id="rId12"/>
      <w:pgSz w:w="11906" w:h="16838" w:code="9"/>
      <w:pgMar w:top="1134" w:right="1418" w:bottom="1134" w:left="1418" w:header="709"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1A479" w14:textId="77777777" w:rsidR="00523A2A" w:rsidRDefault="00523A2A" w:rsidP="00EC5F30">
      <w:pPr>
        <w:spacing w:after="0" w:line="240" w:lineRule="auto"/>
      </w:pPr>
      <w:r>
        <w:separator/>
      </w:r>
    </w:p>
  </w:endnote>
  <w:endnote w:type="continuationSeparator" w:id="0">
    <w:p w14:paraId="09FB686E" w14:textId="77777777" w:rsidR="00523A2A" w:rsidRDefault="00523A2A" w:rsidP="00EC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PS">
    <w:charset w:val="02"/>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rlito">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2ACDA" w14:textId="05FCA246" w:rsidR="006259DD" w:rsidRDefault="006259DD">
    <w:pPr>
      <w:pStyle w:val="Stopka"/>
      <w:jc w:val="center"/>
    </w:pPr>
    <w:r>
      <w:fldChar w:fldCharType="begin"/>
    </w:r>
    <w:r>
      <w:instrText>PAGE   \* MERGEFORMAT</w:instrText>
    </w:r>
    <w:r>
      <w:fldChar w:fldCharType="separate"/>
    </w:r>
    <w:r w:rsidR="00B64E75">
      <w:rPr>
        <w:noProof/>
      </w:rPr>
      <w:t>8</w:t>
    </w:r>
    <w:r>
      <w:fldChar w:fldCharType="end"/>
    </w:r>
  </w:p>
  <w:p w14:paraId="4DDE0694" w14:textId="77777777" w:rsidR="006259DD" w:rsidRDefault="00625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8FBD7" w14:textId="77777777" w:rsidR="00523A2A" w:rsidRDefault="00523A2A" w:rsidP="00EC5F30">
      <w:pPr>
        <w:spacing w:after="0" w:line="240" w:lineRule="auto"/>
      </w:pPr>
      <w:r>
        <w:separator/>
      </w:r>
    </w:p>
  </w:footnote>
  <w:footnote w:type="continuationSeparator" w:id="0">
    <w:p w14:paraId="04BC302D" w14:textId="77777777" w:rsidR="00523A2A" w:rsidRDefault="00523A2A" w:rsidP="00EC5F30">
      <w:pPr>
        <w:spacing w:after="0" w:line="240" w:lineRule="auto"/>
      </w:pPr>
      <w:r>
        <w:continuationSeparator/>
      </w:r>
    </w:p>
  </w:footnote>
  <w:footnote w:id="1">
    <w:p w14:paraId="06CC77C9" w14:textId="77777777" w:rsidR="009670F3" w:rsidRPr="009670F3" w:rsidRDefault="009670F3">
      <w:pPr>
        <w:pStyle w:val="Tekstprzypisudolnego"/>
        <w:rPr>
          <w:rFonts w:ascii="Arial" w:hAnsi="Arial" w:cs="Arial"/>
          <w:sz w:val="16"/>
          <w:szCs w:val="16"/>
        </w:rPr>
      </w:pPr>
      <w:r w:rsidRPr="009670F3">
        <w:rPr>
          <w:rStyle w:val="Odwoanieprzypisudolnego"/>
          <w:rFonts w:ascii="Arial" w:hAnsi="Arial" w:cs="Arial"/>
          <w:sz w:val="16"/>
          <w:szCs w:val="16"/>
        </w:rPr>
        <w:footnoteRef/>
      </w:r>
      <w:r w:rsidRPr="009670F3">
        <w:rPr>
          <w:rFonts w:ascii="Arial" w:hAnsi="Arial" w:cs="Arial"/>
          <w:sz w:val="16"/>
          <w:szCs w:val="16"/>
        </w:rPr>
        <w:t xml:space="preserve"> „Przedsiębiorstwo“ jest najmniejszą kombinacją jednostek prawnych, tzn. jednostką organizacyjną wytwarzającą towary lub usługi, która osiąga korzyści z pewnego stopnia samodzielności w podejmowaniu decyzji, w szczególności w zakresie alokacji bieżących zasobów. Przedsiębiorstwo prowadzi jeden lub więcej rodzajów działalności w jednym lub więcej miejscach. Przedsiębiorstwo może być jedną jednostką prawną. Jednostki prawne obejmują osoby prawne, których istnienie jest uznane przez prawo, niezależnie od osób indywidualnych lub 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 (ESTAT w odniesieniach, na podstawie rozporządzenia Rady (EWG) nr 696/93, sekcja III A z 15.03.1993 r.). Na potrzeby tego wskaźnika przedsiębiorstwa są organizacjami nastawionymi na osiąganie zysku, które wytwarzają towary lub usługi w celu zaspokojenia 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i udziałowców. Przedsiębiorstwo społeczne działa, dostarczając towary i świadcząc usługi na rynku w sposób przedsiębiorczy i innowacyjny, a zyski wykorzystuje przede wszystkim do osiągania celów społecznych”.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C72C1" w14:textId="4F91C52D" w:rsidR="00B8252C" w:rsidRDefault="00B8252C">
    <w:pPr>
      <w:pStyle w:val="Nagwek"/>
    </w:pPr>
    <w:r>
      <w:rPr>
        <w:noProof/>
        <w:lang w:eastAsia="pl-PL"/>
      </w:rPr>
      <w:drawing>
        <wp:inline distT="0" distB="0" distL="0" distR="0" wp14:anchorId="26462CB6" wp14:editId="0FB5C93B">
          <wp:extent cx="5759450" cy="492760"/>
          <wp:effectExtent l="0" t="0" r="0" b="254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15:restartNumberingAfterBreak="0">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15:restartNumberingAfterBreak="0">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FC4BC8"/>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07D40DF"/>
    <w:multiLevelType w:val="hybridMultilevel"/>
    <w:tmpl w:val="BB22A518"/>
    <w:lvl w:ilvl="0" w:tplc="51CEC1E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C84249"/>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723789"/>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570153D"/>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820F1C"/>
    <w:multiLevelType w:val="hybridMultilevel"/>
    <w:tmpl w:val="66CAC05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6182D"/>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436DE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C6E6D69"/>
    <w:multiLevelType w:val="hybridMultilevel"/>
    <w:tmpl w:val="54DCDB6A"/>
    <w:lvl w:ilvl="0" w:tplc="C1F2F672">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C14810"/>
    <w:multiLevelType w:val="hybridMultilevel"/>
    <w:tmpl w:val="C0AC1FB6"/>
    <w:lvl w:ilvl="0" w:tplc="473898FA">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8523C1"/>
    <w:multiLevelType w:val="hybridMultilevel"/>
    <w:tmpl w:val="968AAE6A"/>
    <w:lvl w:ilvl="0" w:tplc="1E32BE4E">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5057DE"/>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062129"/>
    <w:multiLevelType w:val="hybridMultilevel"/>
    <w:tmpl w:val="A9CA44FE"/>
    <w:lvl w:ilvl="0" w:tplc="DA4ACCF4">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CE0F1C"/>
    <w:multiLevelType w:val="hybridMultilevel"/>
    <w:tmpl w:val="863C1A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285587"/>
    <w:multiLevelType w:val="hybridMultilevel"/>
    <w:tmpl w:val="D756751E"/>
    <w:lvl w:ilvl="0" w:tplc="A622D2A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880F5B"/>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7692F2D"/>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53046E"/>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BB307A"/>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407D84"/>
    <w:multiLevelType w:val="hybridMultilevel"/>
    <w:tmpl w:val="15FA6E0C"/>
    <w:lvl w:ilvl="0" w:tplc="FF343706">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E96B77"/>
    <w:multiLevelType w:val="hybridMultilevel"/>
    <w:tmpl w:val="2542C022"/>
    <w:lvl w:ilvl="0" w:tplc="9B4085D4">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C54758"/>
    <w:multiLevelType w:val="hybridMultilevel"/>
    <w:tmpl w:val="5862289E"/>
    <w:lvl w:ilvl="0" w:tplc="25ACC20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F61311"/>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241187"/>
    <w:multiLevelType w:val="hybridMultilevel"/>
    <w:tmpl w:val="BD8C5380"/>
    <w:lvl w:ilvl="0" w:tplc="CD7A66E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3380706"/>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4860D27"/>
    <w:multiLevelType w:val="hybridMultilevel"/>
    <w:tmpl w:val="8CC4CFC2"/>
    <w:lvl w:ilvl="0" w:tplc="9C4CA55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7800D8"/>
    <w:multiLevelType w:val="hybridMultilevel"/>
    <w:tmpl w:val="0DD28310"/>
    <w:lvl w:ilvl="0" w:tplc="FD04136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6A0195"/>
    <w:multiLevelType w:val="hybridMultilevel"/>
    <w:tmpl w:val="AFACCBEC"/>
    <w:lvl w:ilvl="0" w:tplc="5894B296">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221657"/>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F257567"/>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935DA1"/>
    <w:multiLevelType w:val="hybridMultilevel"/>
    <w:tmpl w:val="65CCBA7A"/>
    <w:lvl w:ilvl="0" w:tplc="4C827D7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840220"/>
    <w:multiLevelType w:val="hybridMultilevel"/>
    <w:tmpl w:val="6C06BAA0"/>
    <w:lvl w:ilvl="0" w:tplc="B0DC7D7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0127AA"/>
    <w:multiLevelType w:val="hybridMultilevel"/>
    <w:tmpl w:val="AE463952"/>
    <w:lvl w:ilvl="0" w:tplc="1D94326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BD64D7"/>
    <w:multiLevelType w:val="hybridMultilevel"/>
    <w:tmpl w:val="8F7E68AC"/>
    <w:lvl w:ilvl="0" w:tplc="F5B6E04E">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716129"/>
    <w:multiLevelType w:val="hybridMultilevel"/>
    <w:tmpl w:val="5F4A1F7E"/>
    <w:lvl w:ilvl="0" w:tplc="AAB21B6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EE758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587571F"/>
    <w:multiLevelType w:val="hybridMultilevel"/>
    <w:tmpl w:val="EE34EE0C"/>
    <w:lvl w:ilvl="0" w:tplc="09CE68A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74016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26E636D"/>
    <w:multiLevelType w:val="hybridMultilevel"/>
    <w:tmpl w:val="D16EF6D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9F0AAA"/>
    <w:multiLevelType w:val="hybridMultilevel"/>
    <w:tmpl w:val="863C1A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347D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9DB42D5"/>
    <w:multiLevelType w:val="hybridMultilevel"/>
    <w:tmpl w:val="21949A62"/>
    <w:lvl w:ilvl="0" w:tplc="17D6BE6E">
      <w:start w:val="2"/>
      <w:numFmt w:val="upperLetter"/>
      <w:lvlText w:val="%1."/>
      <w:lvlJc w:val="left"/>
      <w:pPr>
        <w:ind w:left="720" w:hanging="360"/>
      </w:pPr>
      <w:rPr>
        <w:rFonts w:ascii="Calibri" w:hAnsi="Calibri" w:cs="Times New Roman"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666B1C"/>
    <w:multiLevelType w:val="hybridMultilevel"/>
    <w:tmpl w:val="A894DFF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12A2C67"/>
    <w:multiLevelType w:val="hybridMultilevel"/>
    <w:tmpl w:val="59E4F7E2"/>
    <w:lvl w:ilvl="0" w:tplc="EF3C7AC2">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516A46"/>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3FB32AE"/>
    <w:multiLevelType w:val="hybridMultilevel"/>
    <w:tmpl w:val="E3781A80"/>
    <w:lvl w:ilvl="0" w:tplc="5CB272D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290E8A"/>
    <w:multiLevelType w:val="hybridMultilevel"/>
    <w:tmpl w:val="F2DEBE9E"/>
    <w:lvl w:ilvl="0" w:tplc="4AD4396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F52D22"/>
    <w:multiLevelType w:val="hybridMultilevel"/>
    <w:tmpl w:val="4FB0A8BA"/>
    <w:lvl w:ilvl="0" w:tplc="47C273C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4B2C85"/>
    <w:multiLevelType w:val="hybridMultilevel"/>
    <w:tmpl w:val="49220F72"/>
    <w:lvl w:ilvl="0" w:tplc="3ABA5F2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E06364"/>
    <w:multiLevelType w:val="hybridMultilevel"/>
    <w:tmpl w:val="592C557A"/>
    <w:lvl w:ilvl="0" w:tplc="E4D6A470">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40398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4"/>
  </w:num>
  <w:num w:numId="5">
    <w:abstractNumId w:val="5"/>
  </w:num>
  <w:num w:numId="6">
    <w:abstractNumId w:val="7"/>
  </w:num>
  <w:num w:numId="7">
    <w:abstractNumId w:val="9"/>
  </w:num>
  <w:num w:numId="8">
    <w:abstractNumId w:val="52"/>
  </w:num>
  <w:num w:numId="9">
    <w:abstractNumId w:val="8"/>
  </w:num>
  <w:num w:numId="10">
    <w:abstractNumId w:val="26"/>
  </w:num>
  <w:num w:numId="11">
    <w:abstractNumId w:val="16"/>
  </w:num>
  <w:num w:numId="12">
    <w:abstractNumId w:val="13"/>
  </w:num>
  <w:num w:numId="13">
    <w:abstractNumId w:val="38"/>
  </w:num>
  <w:num w:numId="14">
    <w:abstractNumId w:val="31"/>
  </w:num>
  <w:num w:numId="15">
    <w:abstractNumId w:val="15"/>
  </w:num>
  <w:num w:numId="16">
    <w:abstractNumId w:val="49"/>
  </w:num>
  <w:num w:numId="17">
    <w:abstractNumId w:val="27"/>
  </w:num>
  <w:num w:numId="18">
    <w:abstractNumId w:val="51"/>
  </w:num>
  <w:num w:numId="19">
    <w:abstractNumId w:val="37"/>
  </w:num>
  <w:num w:numId="20">
    <w:abstractNumId w:val="12"/>
  </w:num>
  <w:num w:numId="21">
    <w:abstractNumId w:val="60"/>
  </w:num>
  <w:num w:numId="22">
    <w:abstractNumId w:val="46"/>
  </w:num>
  <w:num w:numId="23">
    <w:abstractNumId w:val="20"/>
  </w:num>
  <w:num w:numId="24">
    <w:abstractNumId w:val="24"/>
  </w:num>
  <w:num w:numId="25">
    <w:abstractNumId w:val="54"/>
  </w:num>
  <w:num w:numId="26">
    <w:abstractNumId w:val="11"/>
  </w:num>
  <w:num w:numId="27">
    <w:abstractNumId w:val="33"/>
  </w:num>
  <w:num w:numId="28">
    <w:abstractNumId w:val="44"/>
  </w:num>
  <w:num w:numId="29">
    <w:abstractNumId w:val="25"/>
  </w:num>
  <w:num w:numId="30">
    <w:abstractNumId w:val="58"/>
  </w:num>
  <w:num w:numId="31">
    <w:abstractNumId w:val="40"/>
  </w:num>
  <w:num w:numId="32">
    <w:abstractNumId w:val="28"/>
  </w:num>
  <w:num w:numId="33">
    <w:abstractNumId w:val="56"/>
  </w:num>
  <w:num w:numId="34">
    <w:abstractNumId w:val="29"/>
  </w:num>
  <w:num w:numId="35">
    <w:abstractNumId w:val="34"/>
  </w:num>
  <w:num w:numId="36">
    <w:abstractNumId w:val="43"/>
  </w:num>
  <w:num w:numId="37">
    <w:abstractNumId w:val="45"/>
  </w:num>
  <w:num w:numId="38">
    <w:abstractNumId w:val="17"/>
  </w:num>
  <w:num w:numId="39">
    <w:abstractNumId w:val="57"/>
  </w:num>
  <w:num w:numId="40">
    <w:abstractNumId w:val="36"/>
  </w:num>
  <w:num w:numId="41">
    <w:abstractNumId w:val="30"/>
  </w:num>
  <w:num w:numId="42">
    <w:abstractNumId w:val="23"/>
  </w:num>
  <w:num w:numId="43">
    <w:abstractNumId w:val="21"/>
  </w:num>
  <w:num w:numId="44">
    <w:abstractNumId w:val="35"/>
  </w:num>
  <w:num w:numId="45">
    <w:abstractNumId w:val="10"/>
  </w:num>
  <w:num w:numId="46">
    <w:abstractNumId w:val="42"/>
  </w:num>
  <w:num w:numId="47">
    <w:abstractNumId w:val="41"/>
  </w:num>
  <w:num w:numId="48">
    <w:abstractNumId w:val="59"/>
  </w:num>
  <w:num w:numId="49">
    <w:abstractNumId w:val="19"/>
  </w:num>
  <w:num w:numId="50">
    <w:abstractNumId w:val="55"/>
  </w:num>
  <w:num w:numId="51">
    <w:abstractNumId w:val="39"/>
  </w:num>
  <w:num w:numId="52">
    <w:abstractNumId w:val="53"/>
  </w:num>
  <w:num w:numId="53">
    <w:abstractNumId w:val="48"/>
  </w:num>
  <w:num w:numId="54">
    <w:abstractNumId w:val="22"/>
  </w:num>
  <w:num w:numId="55">
    <w:abstractNumId w:val="18"/>
  </w:num>
  <w:num w:numId="56">
    <w:abstractNumId w:val="47"/>
  </w:num>
  <w:num w:numId="57">
    <w:abstractNumId w:val="14"/>
  </w:num>
  <w:num w:numId="58">
    <w:abstractNumId w:val="50"/>
  </w:num>
  <w:num w:numId="59">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48"/>
    <w:rsid w:val="00003BBA"/>
    <w:rsid w:val="00003C98"/>
    <w:rsid w:val="000108DF"/>
    <w:rsid w:val="00011EC7"/>
    <w:rsid w:val="0001343A"/>
    <w:rsid w:val="0002120F"/>
    <w:rsid w:val="0002442E"/>
    <w:rsid w:val="00030D64"/>
    <w:rsid w:val="000333ED"/>
    <w:rsid w:val="00034331"/>
    <w:rsid w:val="00034F85"/>
    <w:rsid w:val="0004112C"/>
    <w:rsid w:val="00044C5F"/>
    <w:rsid w:val="00047303"/>
    <w:rsid w:val="00056F72"/>
    <w:rsid w:val="00057916"/>
    <w:rsid w:val="000619C5"/>
    <w:rsid w:val="00066681"/>
    <w:rsid w:val="0007286C"/>
    <w:rsid w:val="00081D00"/>
    <w:rsid w:val="0008227A"/>
    <w:rsid w:val="00083352"/>
    <w:rsid w:val="00083882"/>
    <w:rsid w:val="00084E2E"/>
    <w:rsid w:val="000877A6"/>
    <w:rsid w:val="00094475"/>
    <w:rsid w:val="00094EFB"/>
    <w:rsid w:val="00097A27"/>
    <w:rsid w:val="000A1ECF"/>
    <w:rsid w:val="000A209C"/>
    <w:rsid w:val="000A54C9"/>
    <w:rsid w:val="000A60F5"/>
    <w:rsid w:val="000A7CD8"/>
    <w:rsid w:val="000B09D3"/>
    <w:rsid w:val="000B6900"/>
    <w:rsid w:val="000C1A51"/>
    <w:rsid w:val="000C1F9D"/>
    <w:rsid w:val="000C2D28"/>
    <w:rsid w:val="000D2664"/>
    <w:rsid w:val="000E17A9"/>
    <w:rsid w:val="000E4117"/>
    <w:rsid w:val="000F3C6A"/>
    <w:rsid w:val="000F403B"/>
    <w:rsid w:val="000F749C"/>
    <w:rsid w:val="001002A7"/>
    <w:rsid w:val="00102EB8"/>
    <w:rsid w:val="00105D04"/>
    <w:rsid w:val="0011209E"/>
    <w:rsid w:val="00113F77"/>
    <w:rsid w:val="0011575E"/>
    <w:rsid w:val="00115D5E"/>
    <w:rsid w:val="001165F5"/>
    <w:rsid w:val="00120F56"/>
    <w:rsid w:val="001215CE"/>
    <w:rsid w:val="00125447"/>
    <w:rsid w:val="00125A6A"/>
    <w:rsid w:val="00134228"/>
    <w:rsid w:val="001345F9"/>
    <w:rsid w:val="0013567A"/>
    <w:rsid w:val="00135CDE"/>
    <w:rsid w:val="0013627F"/>
    <w:rsid w:val="00141852"/>
    <w:rsid w:val="00141FB3"/>
    <w:rsid w:val="0014255C"/>
    <w:rsid w:val="00142680"/>
    <w:rsid w:val="001470DE"/>
    <w:rsid w:val="001473EF"/>
    <w:rsid w:val="00147640"/>
    <w:rsid w:val="00150106"/>
    <w:rsid w:val="001516CC"/>
    <w:rsid w:val="001547B0"/>
    <w:rsid w:val="00156BE9"/>
    <w:rsid w:val="001700F0"/>
    <w:rsid w:val="00172114"/>
    <w:rsid w:val="00175C88"/>
    <w:rsid w:val="001778A7"/>
    <w:rsid w:val="00183F03"/>
    <w:rsid w:val="00185264"/>
    <w:rsid w:val="0019799A"/>
    <w:rsid w:val="001A2D8D"/>
    <w:rsid w:val="001A5684"/>
    <w:rsid w:val="001B03C8"/>
    <w:rsid w:val="001C135F"/>
    <w:rsid w:val="001C1789"/>
    <w:rsid w:val="001C2EBE"/>
    <w:rsid w:val="001D3ADB"/>
    <w:rsid w:val="001E4E02"/>
    <w:rsid w:val="001E615F"/>
    <w:rsid w:val="001F35F2"/>
    <w:rsid w:val="001F5FAD"/>
    <w:rsid w:val="00202423"/>
    <w:rsid w:val="00205BBD"/>
    <w:rsid w:val="00216E42"/>
    <w:rsid w:val="00220066"/>
    <w:rsid w:val="0022287E"/>
    <w:rsid w:val="0022423C"/>
    <w:rsid w:val="00237447"/>
    <w:rsid w:val="00242E0C"/>
    <w:rsid w:val="002437D7"/>
    <w:rsid w:val="00243D68"/>
    <w:rsid w:val="002441F1"/>
    <w:rsid w:val="00244EE6"/>
    <w:rsid w:val="00256DAF"/>
    <w:rsid w:val="002609CD"/>
    <w:rsid w:val="00267573"/>
    <w:rsid w:val="00267729"/>
    <w:rsid w:val="00267F40"/>
    <w:rsid w:val="00271C4F"/>
    <w:rsid w:val="0027489A"/>
    <w:rsid w:val="002751B3"/>
    <w:rsid w:val="002755B1"/>
    <w:rsid w:val="002814CE"/>
    <w:rsid w:val="002923F6"/>
    <w:rsid w:val="00295AD1"/>
    <w:rsid w:val="00296EEB"/>
    <w:rsid w:val="002A5D32"/>
    <w:rsid w:val="002A73D2"/>
    <w:rsid w:val="002B6E88"/>
    <w:rsid w:val="002B6FEF"/>
    <w:rsid w:val="002C48F9"/>
    <w:rsid w:val="002C6BF4"/>
    <w:rsid w:val="002D00A6"/>
    <w:rsid w:val="002D4D37"/>
    <w:rsid w:val="002E100A"/>
    <w:rsid w:val="002E64B4"/>
    <w:rsid w:val="002F1D67"/>
    <w:rsid w:val="002F4233"/>
    <w:rsid w:val="002F6C28"/>
    <w:rsid w:val="00305353"/>
    <w:rsid w:val="00312399"/>
    <w:rsid w:val="00312F28"/>
    <w:rsid w:val="00316A22"/>
    <w:rsid w:val="00316E70"/>
    <w:rsid w:val="00324F7E"/>
    <w:rsid w:val="00325765"/>
    <w:rsid w:val="0032592E"/>
    <w:rsid w:val="003270F0"/>
    <w:rsid w:val="00332DD0"/>
    <w:rsid w:val="003347C0"/>
    <w:rsid w:val="003348AB"/>
    <w:rsid w:val="00335175"/>
    <w:rsid w:val="00337225"/>
    <w:rsid w:val="00340BBE"/>
    <w:rsid w:val="003424BA"/>
    <w:rsid w:val="00347620"/>
    <w:rsid w:val="00356658"/>
    <w:rsid w:val="00360A55"/>
    <w:rsid w:val="00361D09"/>
    <w:rsid w:val="00372330"/>
    <w:rsid w:val="00372496"/>
    <w:rsid w:val="00380D9F"/>
    <w:rsid w:val="003853E0"/>
    <w:rsid w:val="003866B6"/>
    <w:rsid w:val="00394F4C"/>
    <w:rsid w:val="00396DE0"/>
    <w:rsid w:val="003A403C"/>
    <w:rsid w:val="003A4E63"/>
    <w:rsid w:val="003A7813"/>
    <w:rsid w:val="003B4CB2"/>
    <w:rsid w:val="003B7669"/>
    <w:rsid w:val="003B7937"/>
    <w:rsid w:val="003C0025"/>
    <w:rsid w:val="003C1911"/>
    <w:rsid w:val="003C5D33"/>
    <w:rsid w:val="003C6A36"/>
    <w:rsid w:val="003C77B2"/>
    <w:rsid w:val="003C7C04"/>
    <w:rsid w:val="003D02C9"/>
    <w:rsid w:val="003D45C2"/>
    <w:rsid w:val="003D6104"/>
    <w:rsid w:val="003E2109"/>
    <w:rsid w:val="003E55E1"/>
    <w:rsid w:val="003E5F2D"/>
    <w:rsid w:val="003F118D"/>
    <w:rsid w:val="003F6298"/>
    <w:rsid w:val="003F7A89"/>
    <w:rsid w:val="00401E64"/>
    <w:rsid w:val="00404537"/>
    <w:rsid w:val="004052B5"/>
    <w:rsid w:val="004059AA"/>
    <w:rsid w:val="00410757"/>
    <w:rsid w:val="00412F89"/>
    <w:rsid w:val="00413FF7"/>
    <w:rsid w:val="00415E53"/>
    <w:rsid w:val="00417CFB"/>
    <w:rsid w:val="004200D5"/>
    <w:rsid w:val="00424A38"/>
    <w:rsid w:val="0043338A"/>
    <w:rsid w:val="004339F9"/>
    <w:rsid w:val="00433E6B"/>
    <w:rsid w:val="00435002"/>
    <w:rsid w:val="0043558D"/>
    <w:rsid w:val="004465F6"/>
    <w:rsid w:val="0045188E"/>
    <w:rsid w:val="004557E4"/>
    <w:rsid w:val="00455DA7"/>
    <w:rsid w:val="00456F95"/>
    <w:rsid w:val="004576CE"/>
    <w:rsid w:val="004621B1"/>
    <w:rsid w:val="00462A33"/>
    <w:rsid w:val="00463A10"/>
    <w:rsid w:val="004650BE"/>
    <w:rsid w:val="004653C1"/>
    <w:rsid w:val="00470917"/>
    <w:rsid w:val="004709B8"/>
    <w:rsid w:val="004722F9"/>
    <w:rsid w:val="0047543F"/>
    <w:rsid w:val="00476A70"/>
    <w:rsid w:val="00477D82"/>
    <w:rsid w:val="00477DD7"/>
    <w:rsid w:val="00482D8A"/>
    <w:rsid w:val="00483FA1"/>
    <w:rsid w:val="0048618B"/>
    <w:rsid w:val="00491E53"/>
    <w:rsid w:val="0049671F"/>
    <w:rsid w:val="004A1C0E"/>
    <w:rsid w:val="004A2548"/>
    <w:rsid w:val="004A2DA1"/>
    <w:rsid w:val="004B2EA2"/>
    <w:rsid w:val="004B4A5F"/>
    <w:rsid w:val="004B55CD"/>
    <w:rsid w:val="004B6A52"/>
    <w:rsid w:val="004C1725"/>
    <w:rsid w:val="004C1D4B"/>
    <w:rsid w:val="004C3F85"/>
    <w:rsid w:val="004C4BF6"/>
    <w:rsid w:val="004C4EC0"/>
    <w:rsid w:val="004C60B5"/>
    <w:rsid w:val="004C7277"/>
    <w:rsid w:val="004C772F"/>
    <w:rsid w:val="004D0235"/>
    <w:rsid w:val="004D32A1"/>
    <w:rsid w:val="004D3C0B"/>
    <w:rsid w:val="004D569C"/>
    <w:rsid w:val="004E1C6A"/>
    <w:rsid w:val="004E2C64"/>
    <w:rsid w:val="004E56AC"/>
    <w:rsid w:val="004E6740"/>
    <w:rsid w:val="004F12D8"/>
    <w:rsid w:val="005013EF"/>
    <w:rsid w:val="005071A3"/>
    <w:rsid w:val="00514548"/>
    <w:rsid w:val="00514797"/>
    <w:rsid w:val="00516328"/>
    <w:rsid w:val="005205C5"/>
    <w:rsid w:val="005206DC"/>
    <w:rsid w:val="00523A2A"/>
    <w:rsid w:val="00523B67"/>
    <w:rsid w:val="00524808"/>
    <w:rsid w:val="0053085D"/>
    <w:rsid w:val="005410FA"/>
    <w:rsid w:val="00541876"/>
    <w:rsid w:val="00550D62"/>
    <w:rsid w:val="005563CE"/>
    <w:rsid w:val="00556F51"/>
    <w:rsid w:val="0055702B"/>
    <w:rsid w:val="00563616"/>
    <w:rsid w:val="00567190"/>
    <w:rsid w:val="00571C0A"/>
    <w:rsid w:val="00574556"/>
    <w:rsid w:val="00575A3D"/>
    <w:rsid w:val="00576FC5"/>
    <w:rsid w:val="00580ED4"/>
    <w:rsid w:val="005816AF"/>
    <w:rsid w:val="0058240C"/>
    <w:rsid w:val="00583A40"/>
    <w:rsid w:val="00586BBA"/>
    <w:rsid w:val="00593919"/>
    <w:rsid w:val="00595F70"/>
    <w:rsid w:val="005A4253"/>
    <w:rsid w:val="005A7223"/>
    <w:rsid w:val="005B0F8D"/>
    <w:rsid w:val="005B10C2"/>
    <w:rsid w:val="005B6283"/>
    <w:rsid w:val="005C1163"/>
    <w:rsid w:val="005C2ECF"/>
    <w:rsid w:val="005C44BC"/>
    <w:rsid w:val="005C78CB"/>
    <w:rsid w:val="005D02F3"/>
    <w:rsid w:val="005D2029"/>
    <w:rsid w:val="005D3A41"/>
    <w:rsid w:val="005D7543"/>
    <w:rsid w:val="005E486B"/>
    <w:rsid w:val="005E725D"/>
    <w:rsid w:val="005F2B3F"/>
    <w:rsid w:val="005F38D3"/>
    <w:rsid w:val="005F3F4C"/>
    <w:rsid w:val="005F581E"/>
    <w:rsid w:val="005F7AA2"/>
    <w:rsid w:val="00602B20"/>
    <w:rsid w:val="00605E52"/>
    <w:rsid w:val="00607B7A"/>
    <w:rsid w:val="006102F8"/>
    <w:rsid w:val="006259DD"/>
    <w:rsid w:val="006273DA"/>
    <w:rsid w:val="006401A2"/>
    <w:rsid w:val="0064509D"/>
    <w:rsid w:val="00653D4A"/>
    <w:rsid w:val="00662384"/>
    <w:rsid w:val="00662D48"/>
    <w:rsid w:val="00663785"/>
    <w:rsid w:val="00665E20"/>
    <w:rsid w:val="006717E7"/>
    <w:rsid w:val="00671C51"/>
    <w:rsid w:val="0067225C"/>
    <w:rsid w:val="00673618"/>
    <w:rsid w:val="00673F4A"/>
    <w:rsid w:val="00675F5F"/>
    <w:rsid w:val="006806E2"/>
    <w:rsid w:val="0068249C"/>
    <w:rsid w:val="006851CE"/>
    <w:rsid w:val="006862AF"/>
    <w:rsid w:val="0068705A"/>
    <w:rsid w:val="00687594"/>
    <w:rsid w:val="006877C7"/>
    <w:rsid w:val="0069099F"/>
    <w:rsid w:val="00693124"/>
    <w:rsid w:val="006947EB"/>
    <w:rsid w:val="00694ADC"/>
    <w:rsid w:val="006952A8"/>
    <w:rsid w:val="006A058D"/>
    <w:rsid w:val="006A24E4"/>
    <w:rsid w:val="006A3159"/>
    <w:rsid w:val="006A3327"/>
    <w:rsid w:val="006A50BE"/>
    <w:rsid w:val="006A5869"/>
    <w:rsid w:val="006C2009"/>
    <w:rsid w:val="006D13F8"/>
    <w:rsid w:val="006E6533"/>
    <w:rsid w:val="006F3281"/>
    <w:rsid w:val="006F3A6F"/>
    <w:rsid w:val="006F5B63"/>
    <w:rsid w:val="006F7D3D"/>
    <w:rsid w:val="0070124C"/>
    <w:rsid w:val="00702E78"/>
    <w:rsid w:val="0070393D"/>
    <w:rsid w:val="007055CC"/>
    <w:rsid w:val="00713235"/>
    <w:rsid w:val="00713A02"/>
    <w:rsid w:val="00714443"/>
    <w:rsid w:val="00714E4D"/>
    <w:rsid w:val="0072034D"/>
    <w:rsid w:val="00721224"/>
    <w:rsid w:val="00721D12"/>
    <w:rsid w:val="00721D52"/>
    <w:rsid w:val="0072562A"/>
    <w:rsid w:val="007372D1"/>
    <w:rsid w:val="00737E59"/>
    <w:rsid w:val="00741368"/>
    <w:rsid w:val="007413A4"/>
    <w:rsid w:val="007448AA"/>
    <w:rsid w:val="00753217"/>
    <w:rsid w:val="00754D55"/>
    <w:rsid w:val="00756873"/>
    <w:rsid w:val="00766182"/>
    <w:rsid w:val="007664E2"/>
    <w:rsid w:val="007732A2"/>
    <w:rsid w:val="007734CE"/>
    <w:rsid w:val="00774AB5"/>
    <w:rsid w:val="00775436"/>
    <w:rsid w:val="00777B18"/>
    <w:rsid w:val="00780AEB"/>
    <w:rsid w:val="00780B3A"/>
    <w:rsid w:val="0078219A"/>
    <w:rsid w:val="007863AB"/>
    <w:rsid w:val="00791B24"/>
    <w:rsid w:val="0079390E"/>
    <w:rsid w:val="007952D3"/>
    <w:rsid w:val="00796E36"/>
    <w:rsid w:val="007A402B"/>
    <w:rsid w:val="007A444A"/>
    <w:rsid w:val="007A75CD"/>
    <w:rsid w:val="007B21DF"/>
    <w:rsid w:val="007B2900"/>
    <w:rsid w:val="007B2E3A"/>
    <w:rsid w:val="007C0F83"/>
    <w:rsid w:val="007C445D"/>
    <w:rsid w:val="007C6B17"/>
    <w:rsid w:val="007C7929"/>
    <w:rsid w:val="007C7C66"/>
    <w:rsid w:val="007D5229"/>
    <w:rsid w:val="007D5752"/>
    <w:rsid w:val="007D7762"/>
    <w:rsid w:val="007E00B8"/>
    <w:rsid w:val="007E16EE"/>
    <w:rsid w:val="007E3D41"/>
    <w:rsid w:val="007E7DA1"/>
    <w:rsid w:val="0080085E"/>
    <w:rsid w:val="00801A70"/>
    <w:rsid w:val="00804AC1"/>
    <w:rsid w:val="00811910"/>
    <w:rsid w:val="00814329"/>
    <w:rsid w:val="00815D26"/>
    <w:rsid w:val="008242AD"/>
    <w:rsid w:val="008250EA"/>
    <w:rsid w:val="00826F23"/>
    <w:rsid w:val="00832F1F"/>
    <w:rsid w:val="00833BFA"/>
    <w:rsid w:val="00835612"/>
    <w:rsid w:val="008428F8"/>
    <w:rsid w:val="00847B49"/>
    <w:rsid w:val="00852DAA"/>
    <w:rsid w:val="00862245"/>
    <w:rsid w:val="008624C0"/>
    <w:rsid w:val="008823CF"/>
    <w:rsid w:val="00882E40"/>
    <w:rsid w:val="00882F48"/>
    <w:rsid w:val="00883B0F"/>
    <w:rsid w:val="00884410"/>
    <w:rsid w:val="0088472C"/>
    <w:rsid w:val="008954AD"/>
    <w:rsid w:val="008A038A"/>
    <w:rsid w:val="008B0AB4"/>
    <w:rsid w:val="008B7B65"/>
    <w:rsid w:val="008C213C"/>
    <w:rsid w:val="008C2BBB"/>
    <w:rsid w:val="008D2205"/>
    <w:rsid w:val="008D4410"/>
    <w:rsid w:val="008D563A"/>
    <w:rsid w:val="008D5AF8"/>
    <w:rsid w:val="008E117E"/>
    <w:rsid w:val="008E3A77"/>
    <w:rsid w:val="008F3974"/>
    <w:rsid w:val="008F45E7"/>
    <w:rsid w:val="009007A2"/>
    <w:rsid w:val="00901CE6"/>
    <w:rsid w:val="0090552A"/>
    <w:rsid w:val="00910A35"/>
    <w:rsid w:val="00911A68"/>
    <w:rsid w:val="00914E6D"/>
    <w:rsid w:val="00915238"/>
    <w:rsid w:val="00917AF1"/>
    <w:rsid w:val="00920AA9"/>
    <w:rsid w:val="009259DD"/>
    <w:rsid w:val="00926466"/>
    <w:rsid w:val="00934F99"/>
    <w:rsid w:val="0094375E"/>
    <w:rsid w:val="0094425C"/>
    <w:rsid w:val="00945390"/>
    <w:rsid w:val="00945699"/>
    <w:rsid w:val="009459FA"/>
    <w:rsid w:val="0095521E"/>
    <w:rsid w:val="00957D29"/>
    <w:rsid w:val="0096251D"/>
    <w:rsid w:val="009631D8"/>
    <w:rsid w:val="00964C9E"/>
    <w:rsid w:val="00966CBE"/>
    <w:rsid w:val="009670F3"/>
    <w:rsid w:val="0097660B"/>
    <w:rsid w:val="009800BA"/>
    <w:rsid w:val="00983F14"/>
    <w:rsid w:val="00986491"/>
    <w:rsid w:val="00992399"/>
    <w:rsid w:val="00994A50"/>
    <w:rsid w:val="00995AF2"/>
    <w:rsid w:val="00996695"/>
    <w:rsid w:val="00996EBB"/>
    <w:rsid w:val="009A0531"/>
    <w:rsid w:val="009A1441"/>
    <w:rsid w:val="009A1DF5"/>
    <w:rsid w:val="009A44B6"/>
    <w:rsid w:val="009A519D"/>
    <w:rsid w:val="009C013F"/>
    <w:rsid w:val="009C06C0"/>
    <w:rsid w:val="009C11FD"/>
    <w:rsid w:val="009C1759"/>
    <w:rsid w:val="009C58BA"/>
    <w:rsid w:val="009E0791"/>
    <w:rsid w:val="009E1AA8"/>
    <w:rsid w:val="009E3DD2"/>
    <w:rsid w:val="009F3835"/>
    <w:rsid w:val="009F5811"/>
    <w:rsid w:val="009F7B61"/>
    <w:rsid w:val="00A031DD"/>
    <w:rsid w:val="00A031FC"/>
    <w:rsid w:val="00A070D5"/>
    <w:rsid w:val="00A072F1"/>
    <w:rsid w:val="00A11A1A"/>
    <w:rsid w:val="00A14FC8"/>
    <w:rsid w:val="00A16039"/>
    <w:rsid w:val="00A16D70"/>
    <w:rsid w:val="00A26BA2"/>
    <w:rsid w:val="00A26FBD"/>
    <w:rsid w:val="00A27C79"/>
    <w:rsid w:val="00A3115B"/>
    <w:rsid w:val="00A351D2"/>
    <w:rsid w:val="00A427A1"/>
    <w:rsid w:val="00A42B71"/>
    <w:rsid w:val="00A43689"/>
    <w:rsid w:val="00A44E93"/>
    <w:rsid w:val="00A535B9"/>
    <w:rsid w:val="00A537D4"/>
    <w:rsid w:val="00A55DB4"/>
    <w:rsid w:val="00A5613F"/>
    <w:rsid w:val="00A634A4"/>
    <w:rsid w:val="00A63C5C"/>
    <w:rsid w:val="00A66B78"/>
    <w:rsid w:val="00A707C4"/>
    <w:rsid w:val="00A76D67"/>
    <w:rsid w:val="00A8646C"/>
    <w:rsid w:val="00A90694"/>
    <w:rsid w:val="00A90DA4"/>
    <w:rsid w:val="00A9575C"/>
    <w:rsid w:val="00AA0427"/>
    <w:rsid w:val="00AA0D87"/>
    <w:rsid w:val="00AA4E58"/>
    <w:rsid w:val="00AA7991"/>
    <w:rsid w:val="00AB16B3"/>
    <w:rsid w:val="00AB46BA"/>
    <w:rsid w:val="00AC0D39"/>
    <w:rsid w:val="00AC6699"/>
    <w:rsid w:val="00AC6D00"/>
    <w:rsid w:val="00AC7FAD"/>
    <w:rsid w:val="00AD056A"/>
    <w:rsid w:val="00AD0B83"/>
    <w:rsid w:val="00AD0BB3"/>
    <w:rsid w:val="00AD2F91"/>
    <w:rsid w:val="00AD5DBA"/>
    <w:rsid w:val="00AE3645"/>
    <w:rsid w:val="00AF4272"/>
    <w:rsid w:val="00B00484"/>
    <w:rsid w:val="00B104AC"/>
    <w:rsid w:val="00B118A9"/>
    <w:rsid w:val="00B1604A"/>
    <w:rsid w:val="00B16334"/>
    <w:rsid w:val="00B17A8B"/>
    <w:rsid w:val="00B21377"/>
    <w:rsid w:val="00B3109B"/>
    <w:rsid w:val="00B33E66"/>
    <w:rsid w:val="00B45009"/>
    <w:rsid w:val="00B45297"/>
    <w:rsid w:val="00B46472"/>
    <w:rsid w:val="00B5422F"/>
    <w:rsid w:val="00B648AF"/>
    <w:rsid w:val="00B64973"/>
    <w:rsid w:val="00B64E75"/>
    <w:rsid w:val="00B7038A"/>
    <w:rsid w:val="00B731EA"/>
    <w:rsid w:val="00B738AD"/>
    <w:rsid w:val="00B73BB9"/>
    <w:rsid w:val="00B75088"/>
    <w:rsid w:val="00B77C3C"/>
    <w:rsid w:val="00B81F32"/>
    <w:rsid w:val="00B8252C"/>
    <w:rsid w:val="00B92C5E"/>
    <w:rsid w:val="00B93609"/>
    <w:rsid w:val="00B9423B"/>
    <w:rsid w:val="00B94E2B"/>
    <w:rsid w:val="00BA3A0A"/>
    <w:rsid w:val="00BA4A3F"/>
    <w:rsid w:val="00BA530E"/>
    <w:rsid w:val="00BA738B"/>
    <w:rsid w:val="00BB002F"/>
    <w:rsid w:val="00BB5D07"/>
    <w:rsid w:val="00BC61AF"/>
    <w:rsid w:val="00BD0318"/>
    <w:rsid w:val="00BD0F20"/>
    <w:rsid w:val="00BD1FF7"/>
    <w:rsid w:val="00BD2DDD"/>
    <w:rsid w:val="00BD331D"/>
    <w:rsid w:val="00BE25FC"/>
    <w:rsid w:val="00BF6C13"/>
    <w:rsid w:val="00BF7EDD"/>
    <w:rsid w:val="00C00DBC"/>
    <w:rsid w:val="00C011F5"/>
    <w:rsid w:val="00C02E6C"/>
    <w:rsid w:val="00C05B23"/>
    <w:rsid w:val="00C12B54"/>
    <w:rsid w:val="00C168FA"/>
    <w:rsid w:val="00C20DEA"/>
    <w:rsid w:val="00C26C34"/>
    <w:rsid w:val="00C279B2"/>
    <w:rsid w:val="00C4019B"/>
    <w:rsid w:val="00C408D8"/>
    <w:rsid w:val="00C44178"/>
    <w:rsid w:val="00C451AB"/>
    <w:rsid w:val="00C46B59"/>
    <w:rsid w:val="00C501AA"/>
    <w:rsid w:val="00C50223"/>
    <w:rsid w:val="00C52423"/>
    <w:rsid w:val="00C55C0A"/>
    <w:rsid w:val="00C61DF4"/>
    <w:rsid w:val="00C64F79"/>
    <w:rsid w:val="00C77DB7"/>
    <w:rsid w:val="00C80A88"/>
    <w:rsid w:val="00C8488B"/>
    <w:rsid w:val="00C84DBB"/>
    <w:rsid w:val="00C8583C"/>
    <w:rsid w:val="00C94453"/>
    <w:rsid w:val="00C95A3B"/>
    <w:rsid w:val="00CA2F91"/>
    <w:rsid w:val="00CD388F"/>
    <w:rsid w:val="00CD63D5"/>
    <w:rsid w:val="00CD67A8"/>
    <w:rsid w:val="00CD7527"/>
    <w:rsid w:val="00CE3D83"/>
    <w:rsid w:val="00CE59FE"/>
    <w:rsid w:val="00CF13F4"/>
    <w:rsid w:val="00CF214E"/>
    <w:rsid w:val="00CF3E56"/>
    <w:rsid w:val="00CF4903"/>
    <w:rsid w:val="00CF7D63"/>
    <w:rsid w:val="00D05EFB"/>
    <w:rsid w:val="00D10313"/>
    <w:rsid w:val="00D17B98"/>
    <w:rsid w:val="00D20305"/>
    <w:rsid w:val="00D20992"/>
    <w:rsid w:val="00D24D94"/>
    <w:rsid w:val="00D263B2"/>
    <w:rsid w:val="00D2705B"/>
    <w:rsid w:val="00D361A7"/>
    <w:rsid w:val="00D50497"/>
    <w:rsid w:val="00D51F8E"/>
    <w:rsid w:val="00D56511"/>
    <w:rsid w:val="00D62751"/>
    <w:rsid w:val="00D627C5"/>
    <w:rsid w:val="00D62F20"/>
    <w:rsid w:val="00D67473"/>
    <w:rsid w:val="00D8081B"/>
    <w:rsid w:val="00D81066"/>
    <w:rsid w:val="00D82EED"/>
    <w:rsid w:val="00D9126E"/>
    <w:rsid w:val="00D9477D"/>
    <w:rsid w:val="00D96A7C"/>
    <w:rsid w:val="00DA0D1B"/>
    <w:rsid w:val="00DA6521"/>
    <w:rsid w:val="00DA67D1"/>
    <w:rsid w:val="00DB0545"/>
    <w:rsid w:val="00DB3BB8"/>
    <w:rsid w:val="00DB4025"/>
    <w:rsid w:val="00DC4AB4"/>
    <w:rsid w:val="00DD131E"/>
    <w:rsid w:val="00DD3A67"/>
    <w:rsid w:val="00DD546A"/>
    <w:rsid w:val="00DD71CE"/>
    <w:rsid w:val="00DE1222"/>
    <w:rsid w:val="00DE34BE"/>
    <w:rsid w:val="00DE7B39"/>
    <w:rsid w:val="00DF4AC0"/>
    <w:rsid w:val="00E0224F"/>
    <w:rsid w:val="00E02616"/>
    <w:rsid w:val="00E036D6"/>
    <w:rsid w:val="00E2322F"/>
    <w:rsid w:val="00E27E59"/>
    <w:rsid w:val="00E310C5"/>
    <w:rsid w:val="00E41D63"/>
    <w:rsid w:val="00E54F34"/>
    <w:rsid w:val="00E55DBC"/>
    <w:rsid w:val="00E6682D"/>
    <w:rsid w:val="00E727BF"/>
    <w:rsid w:val="00E76E19"/>
    <w:rsid w:val="00E80850"/>
    <w:rsid w:val="00E824A1"/>
    <w:rsid w:val="00E8448A"/>
    <w:rsid w:val="00EA399B"/>
    <w:rsid w:val="00EA7397"/>
    <w:rsid w:val="00EA773B"/>
    <w:rsid w:val="00EA7B0D"/>
    <w:rsid w:val="00EB1B0C"/>
    <w:rsid w:val="00EB1B16"/>
    <w:rsid w:val="00EB2F9D"/>
    <w:rsid w:val="00EC26B7"/>
    <w:rsid w:val="00EC3E1A"/>
    <w:rsid w:val="00EC5F30"/>
    <w:rsid w:val="00ED17E3"/>
    <w:rsid w:val="00ED349F"/>
    <w:rsid w:val="00ED5F92"/>
    <w:rsid w:val="00ED659B"/>
    <w:rsid w:val="00ED7346"/>
    <w:rsid w:val="00EE05FC"/>
    <w:rsid w:val="00EE22E5"/>
    <w:rsid w:val="00EE27CE"/>
    <w:rsid w:val="00EE4244"/>
    <w:rsid w:val="00EE737B"/>
    <w:rsid w:val="00EF6142"/>
    <w:rsid w:val="00EF7586"/>
    <w:rsid w:val="00EF79F5"/>
    <w:rsid w:val="00F00975"/>
    <w:rsid w:val="00F00CF7"/>
    <w:rsid w:val="00F10183"/>
    <w:rsid w:val="00F105E0"/>
    <w:rsid w:val="00F10EDC"/>
    <w:rsid w:val="00F119D3"/>
    <w:rsid w:val="00F20EFD"/>
    <w:rsid w:val="00F214A4"/>
    <w:rsid w:val="00F2200E"/>
    <w:rsid w:val="00F230F0"/>
    <w:rsid w:val="00F23C1F"/>
    <w:rsid w:val="00F24841"/>
    <w:rsid w:val="00F30CF7"/>
    <w:rsid w:val="00F34230"/>
    <w:rsid w:val="00F37512"/>
    <w:rsid w:val="00F43E49"/>
    <w:rsid w:val="00F46952"/>
    <w:rsid w:val="00F51995"/>
    <w:rsid w:val="00F54805"/>
    <w:rsid w:val="00F554F3"/>
    <w:rsid w:val="00F578C9"/>
    <w:rsid w:val="00F61346"/>
    <w:rsid w:val="00F621FD"/>
    <w:rsid w:val="00F65C4E"/>
    <w:rsid w:val="00F70A94"/>
    <w:rsid w:val="00F72D53"/>
    <w:rsid w:val="00F7357E"/>
    <w:rsid w:val="00F74AA0"/>
    <w:rsid w:val="00F76FFE"/>
    <w:rsid w:val="00F83391"/>
    <w:rsid w:val="00F861FB"/>
    <w:rsid w:val="00F8735B"/>
    <w:rsid w:val="00F91E1F"/>
    <w:rsid w:val="00F9298B"/>
    <w:rsid w:val="00F93717"/>
    <w:rsid w:val="00F969FF"/>
    <w:rsid w:val="00F97FA8"/>
    <w:rsid w:val="00FA09C0"/>
    <w:rsid w:val="00FB119A"/>
    <w:rsid w:val="00FB3ECD"/>
    <w:rsid w:val="00FB407B"/>
    <w:rsid w:val="00FC0B1C"/>
    <w:rsid w:val="00FC2047"/>
    <w:rsid w:val="00FC3A0E"/>
    <w:rsid w:val="00FC5F15"/>
    <w:rsid w:val="00FC7C3F"/>
    <w:rsid w:val="00FD05DF"/>
    <w:rsid w:val="00FD2C4D"/>
    <w:rsid w:val="00FD647E"/>
    <w:rsid w:val="00FD7857"/>
    <w:rsid w:val="00FE090F"/>
    <w:rsid w:val="00FE1B73"/>
    <w:rsid w:val="00FE3E26"/>
    <w:rsid w:val="00FE6B93"/>
    <w:rsid w:val="00FE7BC6"/>
    <w:rsid w:val="00FF310F"/>
    <w:rsid w:val="00FF38DB"/>
    <w:rsid w:val="00FF3ACB"/>
    <w:rsid w:val="00FF40FA"/>
    <w:rsid w:val="00FF42E7"/>
    <w:rsid w:val="00FF6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104FD8D"/>
  <w15:chartTrackingRefBased/>
  <w15:docId w15:val="{06D652E8-9896-4B80-ADDD-27CB2C4F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3A40"/>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pPr>
      <w:numPr>
        <w:numId w:val="4"/>
      </w:numPr>
      <w:outlineLvl w:val="1"/>
    </w:pPr>
    <w:rPr>
      <w:rFonts w:ascii="Arial" w:hAnsi="Arial" w:cs="Arial"/>
      <w:b/>
      <w:sz w:val="20"/>
      <w:szCs w:val="20"/>
    </w:rPr>
  </w:style>
  <w:style w:type="paragraph" w:styleId="Nagwek3">
    <w:name w:val="heading 3"/>
    <w:basedOn w:val="Akapitzlist"/>
    <w:next w:val="Normalny"/>
    <w:qFormat/>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Symbol" w:hAnsi="Symbol" w:cs="Symbol"/>
      <w:color w:val="auto"/>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rPr>
  </w:style>
  <w:style w:type="character" w:customStyle="1" w:styleId="WW8Num7z0">
    <w:name w:val="WW8Num7z0"/>
    <w:rPr>
      <w:rFonts w:cs="Times New Roman"/>
    </w:rPr>
  </w:style>
  <w:style w:type="character" w:customStyle="1" w:styleId="WW8Num7z1">
    <w:name w:val="WW8Num7z1"/>
    <w:rPr>
      <w:rFonts w:ascii="OpenSymbol" w:hAnsi="OpenSymbol" w:cs="Open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rPr>
  </w:style>
  <w:style w:type="character" w:customStyle="1" w:styleId="Nagwek2Znak">
    <w:name w:val="Nagłówek 2 Znak"/>
    <w:rPr>
      <w:rFonts w:ascii="Arial" w:hAnsi="Arial" w:cs="Arial"/>
      <w:b/>
    </w:rPr>
  </w:style>
  <w:style w:type="character" w:customStyle="1" w:styleId="Nagwek3Znak">
    <w:name w:val="Nagłówek 3 Znak"/>
    <w:rPr>
      <w:rFonts w:ascii="Arial" w:hAnsi="Arial" w:cs="Arial"/>
      <w:b/>
    </w:rPr>
  </w:style>
  <w:style w:type="character" w:customStyle="1" w:styleId="ARTartustawynprozporzdzeniaZnak">
    <w:name w:val="ART(§) – art. ustawy (§ np. rozporządzenia) Znak"/>
    <w:rPr>
      <w:rFonts w:ascii="Times" w:hAnsi="Times" w:cs="Times"/>
      <w:sz w:val="22"/>
      <w:szCs w:val="22"/>
    </w:rPr>
  </w:style>
  <w:style w:type="character" w:customStyle="1" w:styleId="USTustnpkodeksuZnak">
    <w:name w:val="UST(§) – ust. (§ np. kodeksu) Znak"/>
    <w:rPr>
      <w:rFonts w:ascii="Times" w:hAnsi="Times" w:cs="Times"/>
      <w:szCs w:val="22"/>
    </w:rPr>
  </w:style>
  <w:style w:type="character" w:customStyle="1" w:styleId="PKTpunktZnak">
    <w:name w:val="PKT – punkt Znak"/>
    <w:rPr>
      <w:rFonts w:ascii="Times" w:hAnsi="Times" w:cs="Times"/>
      <w:sz w:val="22"/>
      <w:szCs w:val="22"/>
    </w:rPr>
  </w:style>
  <w:style w:type="character" w:customStyle="1" w:styleId="Tekstpodstawowywcity2Znak">
    <w:name w:val="Tekst podstawowy wcięty 2 Znak"/>
    <w:rPr>
      <w:rFonts w:ascii="Times New Roman" w:eastAsia="Times New Roman" w:hAnsi="Times New Roman" w:cs="Times New Roman"/>
      <w:b/>
      <w:bCs/>
      <w:i/>
      <w:iCs/>
      <w:color w:val="000000"/>
      <w:sz w:val="28"/>
      <w:szCs w:val="24"/>
    </w:rPr>
  </w:style>
  <w:style w:type="character" w:customStyle="1" w:styleId="TytuZnak">
    <w:name w:val="Tytuł Znak"/>
    <w:rPr>
      <w:rFonts w:ascii="Cambria" w:eastAsia="Times New Roman" w:hAnsi="Cambria" w:cs="Cambria"/>
      <w:color w:val="17365D"/>
      <w:spacing w:val="5"/>
      <w:kern w:val="1"/>
      <w:sz w:val="52"/>
      <w:szCs w:val="52"/>
    </w:rPr>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customStyle="1" w:styleId="PodtytuZnak">
    <w:name w:val="Podtytuł Znak"/>
    <w:rPr>
      <w:rFonts w:ascii="Cambria" w:eastAsia="Times New Roman" w:hAnsi="Cambria" w:cs="Cambria"/>
      <w:i/>
      <w:iCs/>
      <w:color w:val="4F81BD"/>
      <w:spacing w:val="15"/>
      <w:sz w:val="24"/>
      <w:szCs w:val="24"/>
    </w:rPr>
  </w:style>
  <w:style w:type="character" w:customStyle="1" w:styleId="TekstdymkaZnak">
    <w:name w:val="Tekst dymka Znak"/>
    <w:rPr>
      <w:rFonts w:ascii="Tahoma" w:hAnsi="Tahoma" w:cs="Tahoma"/>
      <w:sz w:val="16"/>
      <w:szCs w:val="16"/>
    </w:rPr>
  </w:style>
  <w:style w:type="character" w:customStyle="1" w:styleId="BezodstpwZnak">
    <w:name w:val="Bez odstępów Znak"/>
    <w:rPr>
      <w:rFonts w:eastAsia="Times New Roman"/>
      <w:sz w:val="22"/>
      <w:szCs w:val="22"/>
    </w:rPr>
  </w:style>
  <w:style w:type="character" w:styleId="Hipercze">
    <w:name w:val="Hyperlink"/>
    <w:rPr>
      <w:rFonts w:cs="Times New Roman"/>
      <w:color w:val="0000FF"/>
      <w:u w:val="single"/>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TekstprzypisudolnegoZnak">
    <w:name w:val="Tekst przypisu dolnego Znak"/>
  </w:style>
  <w:style w:type="character" w:customStyle="1" w:styleId="Znakiprzypiswdolnych">
    <w:name w:val="Znaki przypisów dolnych"/>
    <w:rPr>
      <w:rFonts w:cs="Times New Roman"/>
      <w:vertAlign w:val="superscript"/>
    </w:rPr>
  </w:style>
  <w:style w:type="character" w:styleId="UyteHipercze">
    <w:name w:val="FollowedHyperlink"/>
    <w:rPr>
      <w:rFonts w:cs="Times New Roman"/>
      <w:color w:val="800080"/>
      <w:u w:val="single"/>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Znakiprzypiswkocowych">
    <w:name w:val="Znaki przypisów końcowych"/>
    <w:rPr>
      <w:rFonts w:cs="Times New Roman"/>
      <w:vertAlign w:val="superscript"/>
    </w:rPr>
  </w:style>
  <w:style w:type="character" w:customStyle="1" w:styleId="highlight">
    <w:name w:val="highlight"/>
  </w:style>
  <w:style w:type="character" w:styleId="Pogrubienie">
    <w:name w:val="Strong"/>
    <w:qFormat/>
    <w:rPr>
      <w:rFonts w:cs="Times New Roman"/>
      <w:b/>
      <w:bCs/>
    </w:rPr>
  </w:style>
  <w:style w:type="character" w:customStyle="1" w:styleId="apple-converted-space">
    <w:name w:val="apple-converted-space"/>
    <w:rPr>
      <w:rFonts w:cs="Times New Roman"/>
    </w:rPr>
  </w:style>
  <w:style w:type="character" w:styleId="Uwydatnienie">
    <w:name w:val="Emphasis"/>
    <w:qFormat/>
    <w:rPr>
      <w:rFonts w:cs="Times New Roman"/>
      <w:i/>
      <w:iCs/>
    </w:rPr>
  </w:style>
  <w:style w:type="character" w:customStyle="1" w:styleId="TekstdymkaZnak1">
    <w:name w:val="Tekst dymka Znak1"/>
    <w:rPr>
      <w:rFonts w:cs="Times New Roman"/>
      <w:sz w:val="2"/>
      <w:szCs w:val="2"/>
      <w:lang w:val="pl-PL"/>
    </w:rPr>
  </w:style>
  <w:style w:type="character" w:customStyle="1" w:styleId="TekstpodstawowyZnak">
    <w:name w:val="Tekst podstawowy Znak"/>
    <w:rPr>
      <w:rFonts w:ascii="Arial Narrow" w:eastAsia="Times New Roman" w:hAnsi="Arial Narrow" w:cs="Arial Narrow"/>
      <w:sz w:val="18"/>
      <w:szCs w:val="18"/>
    </w:rPr>
  </w:style>
  <w:style w:type="character" w:customStyle="1" w:styleId="TekstprzypisukocowegoZnak1">
    <w:name w:val="Tekst przypisu końcowego Znak1"/>
    <w:rPr>
      <w:rFonts w:cs="Times New Roman"/>
      <w:sz w:val="20"/>
      <w:szCs w:val="20"/>
      <w:lang w:val="pl-PL"/>
    </w:rPr>
  </w:style>
  <w:style w:type="character" w:customStyle="1" w:styleId="TekstkomentarzaZnak1">
    <w:name w:val="Tekst komentarza Znak1"/>
    <w:rPr>
      <w:rFonts w:cs="Times New Roman"/>
      <w:sz w:val="20"/>
      <w:szCs w:val="20"/>
      <w:lang w:val="pl-PL"/>
    </w:rPr>
  </w:style>
  <w:style w:type="character" w:customStyle="1" w:styleId="TematkomentarzaZnak1">
    <w:name w:val="Temat komentarza Znak1"/>
    <w:rPr>
      <w:rFonts w:cs="Times New Roman"/>
      <w:b/>
      <w:bCs/>
      <w:sz w:val="20"/>
      <w:szCs w:val="20"/>
      <w:lang w:val="pl-PL"/>
    </w:rPr>
  </w:style>
  <w:style w:type="character" w:customStyle="1" w:styleId="A6">
    <w:name w:val="A6"/>
    <w:rPr>
      <w:rFonts w:ascii="SymbolPS" w:hAnsi="SymbolPS" w:cs="SymbolPS"/>
      <w:color w:val="000000"/>
      <w:sz w:val="22"/>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0" w:line="240" w:lineRule="auto"/>
    </w:pPr>
    <w:rPr>
      <w:rFonts w:ascii="Arial Narrow" w:eastAsia="Times New Roman" w:hAnsi="Arial Narrow" w:cs="Arial Narrow"/>
      <w:sz w:val="18"/>
      <w:szCs w:val="18"/>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pPr>
      <w:spacing w:after="200" w:line="276" w:lineRule="auto"/>
      <w:ind w:left="720"/>
    </w:pPr>
  </w:style>
  <w:style w:type="paragraph" w:customStyle="1" w:styleId="ARTartustawynprozporzdzenia">
    <w:name w:val="ART(§) – art. ustawy (§ np. rozporządzenia)"/>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pPr>
      <w:spacing w:before="0"/>
    </w:pPr>
    <w:rPr>
      <w:sz w:val="20"/>
    </w:rPr>
  </w:style>
  <w:style w:type="paragraph" w:customStyle="1" w:styleId="PKTpunkt">
    <w:name w:val="PKT – punkt"/>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pPr>
      <w:tabs>
        <w:tab w:val="center" w:pos="4536"/>
        <w:tab w:val="right" w:pos="9072"/>
      </w:tabs>
      <w:spacing w:after="0" w:line="240" w:lineRule="auto"/>
    </w:pPr>
  </w:style>
  <w:style w:type="paragraph" w:styleId="Stopka">
    <w:name w:val="footer"/>
    <w:basedOn w:val="Normalny"/>
    <w:uiPriority w:val="99"/>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Bezodstpw">
    <w:name w:val="No Spacing"/>
    <w:qFormat/>
    <w:pPr>
      <w:suppressAutoHyphens/>
    </w:pPr>
    <w:rPr>
      <w:rFonts w:ascii="Calibri" w:hAnsi="Calibri"/>
      <w:sz w:val="22"/>
      <w:szCs w:val="22"/>
      <w:lang w:eastAsia="ar-SA"/>
    </w:rPr>
  </w:style>
  <w:style w:type="paragraph" w:styleId="Nagwekspisutreci">
    <w:name w:val="TOC Heading"/>
    <w:basedOn w:val="Nagwek1"/>
    <w:next w:val="Normalny"/>
    <w:qFormat/>
    <w:pPr>
      <w:numPr>
        <w:numId w:val="0"/>
      </w:numPr>
    </w:pPr>
  </w:style>
  <w:style w:type="paragraph" w:styleId="Spistreci1">
    <w:name w:val="toc 1"/>
    <w:basedOn w:val="Normalny"/>
    <w:next w:val="Normalny"/>
    <w:pPr>
      <w:spacing w:after="100" w:line="276" w:lineRule="auto"/>
    </w:pPr>
  </w:style>
  <w:style w:type="paragraph" w:styleId="Spistreci2">
    <w:name w:val="toc 2"/>
    <w:basedOn w:val="Normalny"/>
    <w:next w:val="Normalny"/>
    <w:pPr>
      <w:spacing w:after="100" w:line="276" w:lineRule="auto"/>
      <w:ind w:left="220"/>
    </w:pPr>
    <w:rPr>
      <w:rFonts w:eastAsia="Times New Roman"/>
    </w:rPr>
  </w:style>
  <w:style w:type="paragraph" w:styleId="Spistreci3">
    <w:name w:val="toc 3"/>
    <w:basedOn w:val="Normalny"/>
    <w:next w:val="Normalny"/>
    <w:pPr>
      <w:spacing w:after="100" w:line="276" w:lineRule="auto"/>
      <w:ind w:left="440"/>
    </w:pPr>
    <w:rPr>
      <w:rFonts w:eastAsia="Times New Roman"/>
    </w:rPr>
  </w:style>
  <w:style w:type="paragraph" w:customStyle="1" w:styleId="Tekstkomentarza1">
    <w:name w:val="Tekst komentarza1"/>
    <w:basedOn w:val="Normalny"/>
    <w:pPr>
      <w:spacing w:after="200" w:line="240" w:lineRule="auto"/>
    </w:pPr>
    <w:rPr>
      <w:sz w:val="20"/>
      <w:szCs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Pr>
      <w:rFonts w:cs="Times New Roman"/>
      <w:color w:val="auto"/>
    </w:rPr>
  </w:style>
  <w:style w:type="paragraph" w:customStyle="1" w:styleId="CM3">
    <w:name w:val="CM3"/>
    <w:basedOn w:val="Default"/>
    <w:next w:val="Default"/>
    <w:rPr>
      <w:rFonts w:cs="Times New Roman"/>
      <w:color w:val="auto"/>
    </w:rPr>
  </w:style>
  <w:style w:type="paragraph" w:customStyle="1" w:styleId="CM4">
    <w:name w:val="CM4"/>
    <w:basedOn w:val="Default"/>
    <w:next w:val="Default"/>
    <w:rPr>
      <w:rFonts w:cs="Times New Roman"/>
      <w:color w:val="auto"/>
    </w:rPr>
  </w:style>
  <w:style w:type="paragraph" w:styleId="Tekstprzypisudolnego">
    <w:name w:val="footnote text"/>
    <w:basedOn w:val="Normalny"/>
    <w:pPr>
      <w:spacing w:after="0" w:line="240" w:lineRule="auto"/>
    </w:pPr>
    <w:rPr>
      <w:sz w:val="20"/>
      <w:szCs w:val="20"/>
    </w:rPr>
  </w:style>
  <w:style w:type="paragraph" w:customStyle="1" w:styleId="font5">
    <w:name w:val="font5"/>
    <w:basedOn w:val="Normalny"/>
    <w:pPr>
      <w:spacing w:before="280" w:after="280" w:line="240" w:lineRule="auto"/>
    </w:pPr>
    <w:rPr>
      <w:rFonts w:ascii="Arial" w:eastAsia="Times New Roman" w:hAnsi="Arial" w:cs="Arial"/>
      <w:sz w:val="20"/>
      <w:szCs w:val="20"/>
    </w:rPr>
  </w:style>
  <w:style w:type="paragraph" w:customStyle="1" w:styleId="font6">
    <w:name w:val="font6"/>
    <w:basedOn w:val="Normalny"/>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pPr>
      <w:spacing w:before="280" w:after="280" w:line="240" w:lineRule="auto"/>
    </w:pPr>
    <w:rPr>
      <w:rFonts w:ascii="Arial" w:eastAsia="Times New Roman" w:hAnsi="Arial" w:cs="Arial"/>
      <w:sz w:val="20"/>
      <w:szCs w:val="20"/>
    </w:rPr>
  </w:style>
  <w:style w:type="paragraph" w:customStyle="1" w:styleId="xl65">
    <w:name w:val="xl65"/>
    <w:basedOn w:val="Normalny"/>
    <w:pPr>
      <w:spacing w:before="280" w:after="280" w:line="240" w:lineRule="auto"/>
    </w:pPr>
    <w:rPr>
      <w:rFonts w:ascii="Arial" w:eastAsia="Times New Roman" w:hAnsi="Arial" w:cs="Arial"/>
      <w:sz w:val="24"/>
      <w:szCs w:val="24"/>
    </w:rPr>
  </w:style>
  <w:style w:type="paragraph" w:customStyle="1" w:styleId="xl66">
    <w:name w:val="xl66"/>
    <w:basedOn w:val="Normalny"/>
    <w:pPr>
      <w:spacing w:before="280" w:after="280" w:line="240" w:lineRule="auto"/>
    </w:pPr>
    <w:rPr>
      <w:rFonts w:ascii="Arial" w:eastAsia="Times New Roman" w:hAnsi="Arial" w:cs="Arial"/>
      <w:b/>
      <w:bCs/>
      <w:sz w:val="24"/>
      <w:szCs w:val="24"/>
    </w:rPr>
  </w:style>
  <w:style w:type="paragraph" w:customStyle="1" w:styleId="xl67">
    <w:name w:val="xl67"/>
    <w:basedOn w:val="Normalny"/>
    <w:pPr>
      <w:spacing w:before="280" w:after="280" w:line="240" w:lineRule="auto"/>
    </w:pPr>
    <w:rPr>
      <w:rFonts w:ascii="Arial" w:eastAsia="Times New Roman" w:hAnsi="Arial" w:cs="Arial"/>
      <w:sz w:val="24"/>
      <w:szCs w:val="24"/>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pPr>
      <w:spacing w:before="280" w:after="280" w:line="240" w:lineRule="auto"/>
    </w:pPr>
    <w:rPr>
      <w:rFonts w:ascii="Arial Narrow" w:eastAsia="Times New Roman" w:hAnsi="Arial Narrow" w:cs="Arial Narrow"/>
    </w:rPr>
  </w:style>
  <w:style w:type="paragraph" w:customStyle="1" w:styleId="xl91">
    <w:name w:val="xl91"/>
    <w:basedOn w:val="Normalny"/>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Akapitzlist1">
    <w:name w:val="Akapit z listą1"/>
    <w:basedOn w:val="Normalny"/>
    <w:pPr>
      <w:spacing w:after="0" w:line="240" w:lineRule="auto"/>
      <w:ind w:left="720"/>
    </w:pPr>
    <w:rPr>
      <w:rFonts w:ascii="Times New Roman" w:eastAsia="Times New Roman" w:hAnsi="Times New Roman"/>
      <w:sz w:val="24"/>
      <w:szCs w:val="24"/>
    </w:rPr>
  </w:style>
  <w:style w:type="paragraph" w:styleId="Poprawka">
    <w:name w:val="Revision"/>
    <w:pPr>
      <w:suppressAutoHyphens/>
    </w:pPr>
    <w:rPr>
      <w:sz w:val="24"/>
      <w:szCs w:val="24"/>
      <w:lang w:eastAsia="ar-SA"/>
    </w:rPr>
  </w:style>
  <w:style w:type="paragraph" w:customStyle="1" w:styleId="kropka">
    <w:name w:val="kropka"/>
    <w:basedOn w:val="Normalny"/>
    <w:pPr>
      <w:numPr>
        <w:numId w:val="5"/>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pPr>
      <w:numPr>
        <w:numId w:val="3"/>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pPr>
      <w:spacing w:before="280" w:after="280" w:line="240" w:lineRule="auto"/>
    </w:pPr>
    <w:rPr>
      <w:rFonts w:ascii="Times New Roman" w:eastAsia="Times New Roman" w:hAnsi="Times New Roman"/>
      <w:sz w:val="24"/>
      <w:szCs w:val="24"/>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val="x-none"/>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unhideWhenUsed/>
    <w:rsid w:val="00995A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06582357">
      <w:bodyDiv w:val="1"/>
      <w:marLeft w:val="0"/>
      <w:marRight w:val="0"/>
      <w:marTop w:val="0"/>
      <w:marBottom w:val="0"/>
      <w:divBdr>
        <w:top w:val="none" w:sz="0" w:space="0" w:color="auto"/>
        <w:left w:val="none" w:sz="0" w:space="0" w:color="auto"/>
        <w:bottom w:val="none" w:sz="0" w:space="0" w:color="auto"/>
        <w:right w:val="none" w:sz="0" w:space="0" w:color="auto"/>
      </w:divBdr>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162824164">
      <w:bodyDiv w:val="1"/>
      <w:marLeft w:val="0"/>
      <w:marRight w:val="0"/>
      <w:marTop w:val="0"/>
      <w:marBottom w:val="0"/>
      <w:divBdr>
        <w:top w:val="none" w:sz="0" w:space="0" w:color="auto"/>
        <w:left w:val="none" w:sz="0" w:space="0" w:color="auto"/>
        <w:bottom w:val="none" w:sz="0" w:space="0" w:color="auto"/>
        <w:right w:val="none" w:sz="0" w:space="0" w:color="auto"/>
      </w:divBdr>
    </w:div>
    <w:div w:id="187373528">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722020372">
      <w:bodyDiv w:val="1"/>
      <w:marLeft w:val="0"/>
      <w:marRight w:val="0"/>
      <w:marTop w:val="0"/>
      <w:marBottom w:val="0"/>
      <w:divBdr>
        <w:top w:val="none" w:sz="0" w:space="0" w:color="auto"/>
        <w:left w:val="none" w:sz="0" w:space="0" w:color="auto"/>
        <w:bottom w:val="none" w:sz="0" w:space="0" w:color="auto"/>
        <w:right w:val="none" w:sz="0" w:space="0" w:color="auto"/>
      </w:divBdr>
    </w:div>
    <w:div w:id="1067993539">
      <w:bodyDiv w:val="1"/>
      <w:marLeft w:val="0"/>
      <w:marRight w:val="0"/>
      <w:marTop w:val="0"/>
      <w:marBottom w:val="0"/>
      <w:divBdr>
        <w:top w:val="none" w:sz="0" w:space="0" w:color="auto"/>
        <w:left w:val="none" w:sz="0" w:space="0" w:color="auto"/>
        <w:bottom w:val="none" w:sz="0" w:space="0" w:color="auto"/>
        <w:right w:val="none" w:sz="0" w:space="0" w:color="auto"/>
      </w:divBdr>
    </w:div>
    <w:div w:id="1333410534">
      <w:bodyDiv w:val="1"/>
      <w:marLeft w:val="0"/>
      <w:marRight w:val="0"/>
      <w:marTop w:val="0"/>
      <w:marBottom w:val="0"/>
      <w:divBdr>
        <w:top w:val="none" w:sz="0" w:space="0" w:color="auto"/>
        <w:left w:val="none" w:sz="0" w:space="0" w:color="auto"/>
        <w:bottom w:val="none" w:sz="0" w:space="0" w:color="auto"/>
        <w:right w:val="none" w:sz="0" w:space="0" w:color="auto"/>
      </w:divBdr>
    </w:div>
    <w:div w:id="1335033876">
      <w:bodyDiv w:val="1"/>
      <w:marLeft w:val="0"/>
      <w:marRight w:val="0"/>
      <w:marTop w:val="0"/>
      <w:marBottom w:val="0"/>
      <w:divBdr>
        <w:top w:val="none" w:sz="0" w:space="0" w:color="auto"/>
        <w:left w:val="none" w:sz="0" w:space="0" w:color="auto"/>
        <w:bottom w:val="none" w:sz="0" w:space="0" w:color="auto"/>
        <w:right w:val="none" w:sz="0" w:space="0" w:color="auto"/>
      </w:divBdr>
    </w:div>
    <w:div w:id="1513252473">
      <w:bodyDiv w:val="1"/>
      <w:marLeft w:val="0"/>
      <w:marRight w:val="0"/>
      <w:marTop w:val="0"/>
      <w:marBottom w:val="0"/>
      <w:divBdr>
        <w:top w:val="none" w:sz="0" w:space="0" w:color="auto"/>
        <w:left w:val="none" w:sz="0" w:space="0" w:color="auto"/>
        <w:bottom w:val="none" w:sz="0" w:space="0" w:color="auto"/>
        <w:right w:val="none" w:sz="0" w:space="0" w:color="auto"/>
      </w:divBdr>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643922268">
      <w:bodyDiv w:val="1"/>
      <w:marLeft w:val="0"/>
      <w:marRight w:val="0"/>
      <w:marTop w:val="0"/>
      <w:marBottom w:val="0"/>
      <w:divBdr>
        <w:top w:val="none" w:sz="0" w:space="0" w:color="auto"/>
        <w:left w:val="none" w:sz="0" w:space="0" w:color="auto"/>
        <w:bottom w:val="none" w:sz="0" w:space="0" w:color="auto"/>
        <w:right w:val="none" w:sz="0" w:space="0" w:color="auto"/>
      </w:divBdr>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6344F-5ECE-4438-8146-73B4837FD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78E686-C896-4A45-A88A-0526F3E60413}">
  <ds:schemaRefs>
    <ds:schemaRef ds:uri="http://schemas.microsoft.com/office/2006/metadata/properties"/>
    <ds:schemaRef ds:uri="http://purl.org/dc/terms/"/>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57ea731b-029e-4813-adcc-484a8be04453"/>
    <ds:schemaRef ds:uri="http://www.w3.org/XML/1998/namespace"/>
    <ds:schemaRef ds:uri="http://purl.org/dc/dcmitype/"/>
  </ds:schemaRefs>
</ds:datastoreItem>
</file>

<file path=customXml/itemProps3.xml><?xml version="1.0" encoding="utf-8"?>
<ds:datastoreItem xmlns:ds="http://schemas.openxmlformats.org/officeDocument/2006/customXml" ds:itemID="{05449B26-9581-489F-96CB-2B4C4B9DCAD4}">
  <ds:schemaRefs>
    <ds:schemaRef ds:uri="http://schemas.microsoft.com/sharepoint/v3/contenttype/forms"/>
  </ds:schemaRefs>
</ds:datastoreItem>
</file>

<file path=customXml/itemProps4.xml><?xml version="1.0" encoding="utf-8"?>
<ds:datastoreItem xmlns:ds="http://schemas.openxmlformats.org/officeDocument/2006/customXml" ds:itemID="{337296B3-D2E0-4F40-B72B-F61C1EEB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2357</Words>
  <Characters>14144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Jadwiga Kawa</cp:lastModifiedBy>
  <cp:revision>32</cp:revision>
  <cp:lastPrinted>2024-08-14T12:08:00Z</cp:lastPrinted>
  <dcterms:created xsi:type="dcterms:W3CDTF">2023-09-07T11:03:00Z</dcterms:created>
  <dcterms:modified xsi:type="dcterms:W3CDTF">2024-08-14T12:08:00Z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MediaServiceImageTags">
    <vt:lpwstr/>
  </property>
  <property fmtid="{D5CDD505-2E9C-101B-9397-08002B2CF9AE}" pid="7" name="f59859ad5f3945da928e7b9d0c0694c6">
    <vt:lpwstr/>
  </property>
  <property fmtid="{D5CDD505-2E9C-101B-9397-08002B2CF9AE}" pid="8" name="O_x015b_">
    <vt:lpwstr/>
  </property>
  <property fmtid="{D5CDD505-2E9C-101B-9397-08002B2CF9AE}" pid="9" name="Oś">
    <vt:lpwstr/>
  </property>
  <property fmtid="{D5CDD505-2E9C-101B-9397-08002B2CF9AE}" pid="10" name="Order">
    <vt:r8>9575800</vt:r8>
  </property>
  <property fmtid="{D5CDD505-2E9C-101B-9397-08002B2CF9AE}" pid="11" name="hip">
    <vt:lpwstr>, </vt:lpwstr>
  </property>
  <property fmtid="{D5CDD505-2E9C-101B-9397-08002B2CF9AE}" pid="12" name="Error">
    <vt:bool>false</vt:bool>
  </property>
  <property fmtid="{D5CDD505-2E9C-101B-9397-08002B2CF9AE}" pid="13" name="LinkDoUmowy">
    <vt:lpwstr>, </vt:lpwstr>
  </property>
  <property fmtid="{D5CDD505-2E9C-101B-9397-08002B2CF9AE}" pid="14" name="xd_Signature">
    <vt:bool>false</vt:bool>
  </property>
  <property fmtid="{D5CDD505-2E9C-101B-9397-08002B2CF9AE}" pid="15" name="xd_ProgID">
    <vt:lpwstr/>
  </property>
  <property fmtid="{D5CDD505-2E9C-101B-9397-08002B2CF9AE}" pid="16" name="DoEZD">
    <vt:bool>false</vt:bool>
  </property>
  <property fmtid="{D5CDD505-2E9C-101B-9397-08002B2CF9AE}" pid="17" name="ComplianceAssetId">
    <vt:lpwstr/>
  </property>
  <property fmtid="{D5CDD505-2E9C-101B-9397-08002B2CF9AE}" pid="18" name="TemplateUrl">
    <vt:lpwstr/>
  </property>
  <property fmtid="{D5CDD505-2E9C-101B-9397-08002B2CF9AE}" pid="19" name="DR_monit">
    <vt:bool>false</vt:bool>
  </property>
  <property fmtid="{D5CDD505-2E9C-101B-9397-08002B2CF9AE}" pid="20" name="Rodzaj U_A">
    <vt:lpwstr>umowa</vt:lpwstr>
  </property>
  <property fmtid="{D5CDD505-2E9C-101B-9397-08002B2CF9AE}" pid="21" name="_ExtendedDescription">
    <vt:lpwstr/>
  </property>
  <property fmtid="{D5CDD505-2E9C-101B-9397-08002B2CF9AE}" pid="22" name="TriggerFlowInfo">
    <vt:lpwstr/>
  </property>
  <property fmtid="{D5CDD505-2E9C-101B-9397-08002B2CF9AE}" pid="23" name="UmowaDoKierownika">
    <vt:bool>false</vt:bool>
  </property>
  <property fmtid="{D5CDD505-2E9C-101B-9397-08002B2CF9AE}" pid="24" name="Numer U_A">
    <vt:lpwstr>00</vt:lpwstr>
  </property>
</Properties>
</file>