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0699CFDE"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D61649">
        <w:rPr>
          <w:rFonts w:ascii="Arial" w:eastAsia="Times New Roman" w:hAnsi="Arial" w:cs="Arial"/>
          <w:iCs/>
          <w:sz w:val="20"/>
          <w:szCs w:val="20"/>
          <w:lang w:eastAsia="ar-SA"/>
        </w:rPr>
        <w:t>8</w:t>
      </w:r>
      <w:r w:rsidRPr="00286CAB">
        <w:rPr>
          <w:rFonts w:ascii="Arial" w:eastAsia="Times New Roman" w:hAnsi="Arial" w:cs="Arial"/>
          <w:iCs/>
          <w:sz w:val="20"/>
          <w:szCs w:val="20"/>
          <w:lang w:eastAsia="ar-SA"/>
        </w:rPr>
        <w:t>.</w:t>
      </w:r>
      <w:r w:rsidR="00D61649">
        <w:rPr>
          <w:rFonts w:ascii="Arial" w:eastAsia="Times New Roman" w:hAnsi="Arial" w:cs="Arial"/>
          <w:iCs/>
          <w:sz w:val="20"/>
          <w:szCs w:val="20"/>
          <w:lang w:eastAsia="ar-SA"/>
        </w:rPr>
        <w:t>11</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74485E">
        <w:rPr>
          <w:rFonts w:ascii="Arial" w:eastAsia="Times New Roman" w:hAnsi="Arial" w:cs="Arial"/>
          <w:iCs/>
          <w:sz w:val="20"/>
          <w:szCs w:val="20"/>
          <w:lang w:eastAsia="ar-SA"/>
        </w:rPr>
        <w:t>89</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0739A2" w:rsidRPr="001F5E68" w14:paraId="673CB0D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C5C9BCA" w14:textId="77777777" w:rsidR="000739A2" w:rsidRPr="009E20E2" w:rsidRDefault="000739A2" w:rsidP="000739A2">
            <w:pPr>
              <w:spacing w:line="276" w:lineRule="auto"/>
              <w:rPr>
                <w:rFonts w:ascii="Arial" w:hAnsi="Arial" w:cs="Arial"/>
                <w:b/>
                <w:color w:val="000000" w:themeColor="text1"/>
                <w:sz w:val="24"/>
                <w:szCs w:val="24"/>
              </w:rPr>
            </w:pPr>
            <w:r w:rsidRPr="009E20E2">
              <w:rPr>
                <w:rFonts w:ascii="Arial" w:hAnsi="Arial" w:cs="Arial"/>
                <w:b/>
                <w:color w:val="000000" w:themeColor="text1"/>
                <w:sz w:val="24"/>
                <w:szCs w:val="24"/>
              </w:rPr>
              <w:t>Załączniki - Audyt energetyczny</w:t>
            </w:r>
          </w:p>
          <w:p w14:paraId="47D16681" w14:textId="77777777" w:rsidR="000739A2" w:rsidRDefault="000739A2" w:rsidP="000739A2">
            <w:pPr>
              <w:spacing w:line="276" w:lineRule="auto"/>
              <w:rPr>
                <w:rFonts w:ascii="Arial" w:hAnsi="Arial" w:cs="Arial"/>
                <w:b/>
                <w:color w:val="000000" w:themeColor="text1"/>
                <w:sz w:val="24"/>
                <w:szCs w:val="24"/>
              </w:rPr>
            </w:pPr>
            <w:r w:rsidRPr="009E20E2">
              <w:rPr>
                <w:rFonts w:ascii="Arial" w:hAnsi="Arial" w:cs="Arial"/>
                <w:b/>
                <w:color w:val="000000" w:themeColor="text1"/>
                <w:sz w:val="24"/>
                <w:szCs w:val="24"/>
              </w:rPr>
              <w:t>Obligatoryjnym załącznikiem do wniosku o dofinansowanie jest audyt energetyczny budynku wykonany zgodn</w:t>
            </w:r>
            <w:r>
              <w:rPr>
                <w:rFonts w:ascii="Arial" w:hAnsi="Arial" w:cs="Arial"/>
                <w:b/>
                <w:color w:val="000000" w:themeColor="text1"/>
                <w:sz w:val="24"/>
                <w:szCs w:val="24"/>
              </w:rPr>
              <w:t>ie z Wytycznymi dla projektów z </w:t>
            </w:r>
            <w:r w:rsidRPr="009E20E2">
              <w:rPr>
                <w:rFonts w:ascii="Arial" w:hAnsi="Arial" w:cs="Arial"/>
                <w:b/>
                <w:color w:val="000000" w:themeColor="text1"/>
                <w:sz w:val="24"/>
                <w:szCs w:val="24"/>
              </w:rPr>
              <w:t>zakresu poprawy efektywności energet</w:t>
            </w:r>
            <w:r>
              <w:rPr>
                <w:rFonts w:ascii="Arial" w:hAnsi="Arial" w:cs="Arial"/>
                <w:b/>
                <w:color w:val="000000" w:themeColor="text1"/>
                <w:sz w:val="24"/>
                <w:szCs w:val="24"/>
              </w:rPr>
              <w:t>ycznej budynków finansowanych z </w:t>
            </w:r>
            <w:r w:rsidRPr="009E20E2">
              <w:rPr>
                <w:rFonts w:ascii="Arial" w:hAnsi="Arial" w:cs="Arial"/>
                <w:b/>
                <w:color w:val="000000" w:themeColor="text1"/>
                <w:sz w:val="24"/>
                <w:szCs w:val="24"/>
              </w:rPr>
              <w:t>FEM 2021-2027 przedłożony na Szablonie sporządzania audytu energetycznego dla budynków użyteczności publicznej podlegających modernizacji energetycznej w ramach programu Fundusze Europejskie dla Małopolski 2021-2027 (zwanego dalej szablon audytu FEM)</w:t>
            </w:r>
            <w:r>
              <w:rPr>
                <w:rFonts w:ascii="Arial" w:hAnsi="Arial" w:cs="Arial"/>
                <w:b/>
                <w:color w:val="000000" w:themeColor="text1"/>
                <w:sz w:val="24"/>
                <w:szCs w:val="24"/>
              </w:rPr>
              <w:t>.</w:t>
            </w:r>
          </w:p>
          <w:p w14:paraId="47563FB3" w14:textId="77777777" w:rsidR="000739A2" w:rsidRPr="009E20E2" w:rsidRDefault="000739A2" w:rsidP="000739A2">
            <w:pPr>
              <w:pStyle w:val="Bezodstpw"/>
            </w:pPr>
          </w:p>
          <w:p w14:paraId="52D691E3" w14:textId="77777777" w:rsidR="000739A2" w:rsidRPr="00AB778D" w:rsidRDefault="000739A2" w:rsidP="000739A2">
            <w:p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Dopuszcza się w ramach odstępstwa przedłożenie audytu energetycznego na innym szablonie niż przyjęty przez IZ FEM pod warunkiem:</w:t>
            </w:r>
          </w:p>
          <w:p w14:paraId="0CA7A5D5" w14:textId="77777777" w:rsidR="000739A2" w:rsidRPr="00AB778D" w:rsidRDefault="000739A2" w:rsidP="000739A2">
            <w:pPr>
              <w:pStyle w:val="Akapitzlist"/>
              <w:numPr>
                <w:ilvl w:val="0"/>
                <w:numId w:val="45"/>
              </w:num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że znajdą się w nim wszystkie wymagane informacje, które zostały uwzględnione w szablonie audytu FEM</w:t>
            </w:r>
          </w:p>
          <w:p w14:paraId="1691933B" w14:textId="77777777" w:rsidR="000739A2" w:rsidRPr="00AB778D" w:rsidRDefault="000739A2" w:rsidP="000739A2">
            <w:pPr>
              <w:pStyle w:val="Akapitzlist"/>
              <w:numPr>
                <w:ilvl w:val="0"/>
                <w:numId w:val="45"/>
              </w:num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oraz załączone zostaną tabele z Rozdziału 4 Zestawienia zbiorcze – szablon audytu FEM.</w:t>
            </w:r>
          </w:p>
          <w:p w14:paraId="69C9F069" w14:textId="77777777" w:rsidR="000739A2" w:rsidRPr="009E20E2" w:rsidRDefault="000739A2" w:rsidP="000739A2">
            <w:pPr>
              <w:pStyle w:val="Bezodstpw"/>
            </w:pPr>
          </w:p>
          <w:p w14:paraId="0318CBE8" w14:textId="77777777" w:rsidR="000739A2" w:rsidRDefault="000739A2" w:rsidP="000739A2">
            <w:pPr>
              <w:spacing w:line="276" w:lineRule="auto"/>
              <w:rPr>
                <w:rFonts w:ascii="Arial" w:hAnsi="Arial" w:cs="Arial"/>
                <w:b/>
                <w:color w:val="000000" w:themeColor="text1"/>
                <w:sz w:val="24"/>
                <w:szCs w:val="24"/>
              </w:rPr>
            </w:pPr>
            <w:r w:rsidRPr="009E20E2">
              <w:rPr>
                <w:rFonts w:ascii="Arial" w:hAnsi="Arial" w:cs="Arial"/>
                <w:b/>
                <w:color w:val="000000" w:themeColor="text1"/>
                <w:sz w:val="24"/>
                <w:szCs w:val="24"/>
              </w:rPr>
              <w:t xml:space="preserve">Wybrany w audycie wariant optymalny modernizacji budynków musi zostać </w:t>
            </w:r>
            <w:r w:rsidRPr="008C168B">
              <w:rPr>
                <w:rFonts w:ascii="Arial" w:hAnsi="Arial" w:cs="Arial"/>
                <w:b/>
                <w:color w:val="000000" w:themeColor="text1"/>
                <w:sz w:val="24"/>
                <w:szCs w:val="24"/>
              </w:rPr>
              <w:t>uwzględniony w pełn</w:t>
            </w:r>
            <w:r>
              <w:rPr>
                <w:rFonts w:ascii="Arial" w:hAnsi="Arial" w:cs="Arial"/>
                <w:b/>
                <w:color w:val="000000" w:themeColor="text1"/>
                <w:sz w:val="24"/>
                <w:szCs w:val="24"/>
              </w:rPr>
              <w:t>ym zakresie w ramach projektu</w:t>
            </w:r>
            <w:r w:rsidRPr="009E20E2">
              <w:rPr>
                <w:rFonts w:ascii="Arial" w:hAnsi="Arial" w:cs="Arial"/>
                <w:b/>
                <w:color w:val="000000" w:themeColor="text1"/>
                <w:sz w:val="24"/>
                <w:szCs w:val="24"/>
              </w:rPr>
              <w:t>.</w:t>
            </w:r>
            <w:r>
              <w:rPr>
                <w:rFonts w:ascii="Arial" w:hAnsi="Arial" w:cs="Arial"/>
                <w:b/>
                <w:color w:val="000000" w:themeColor="text1"/>
                <w:sz w:val="24"/>
                <w:szCs w:val="24"/>
              </w:rPr>
              <w:t xml:space="preserve"> </w:t>
            </w:r>
          </w:p>
          <w:p w14:paraId="42FC61B2" w14:textId="69533C00" w:rsidR="000739A2" w:rsidRPr="00B9393B" w:rsidRDefault="0074485E" w:rsidP="000739A2">
            <w:pPr>
              <w:rPr>
                <w:rFonts w:ascii="Arial" w:eastAsia="Calibri" w:hAnsi="Arial" w:cs="Arial"/>
                <w:b/>
                <w:sz w:val="24"/>
                <w:szCs w:val="24"/>
              </w:rPr>
            </w:pPr>
            <w:hyperlink r:id="rId9" w:history="1">
              <w:r w:rsidR="000739A2" w:rsidRPr="00F35E5D">
                <w:rPr>
                  <w:rStyle w:val="Hipercze"/>
                  <w:rFonts w:ascii="Arial" w:hAnsi="Arial" w:cs="Arial"/>
                  <w:b/>
                  <w:sz w:val="24"/>
                  <w:szCs w:val="24"/>
                </w:rPr>
                <w:t>https://fundusze.malopolska.pl/dokumenty/8912-szablon-sporzadzania-audytu-energetycznego-dla-budynkow-uzytecznosci-publicznej</w:t>
              </w:r>
            </w:hyperlink>
            <w:r w:rsidR="000739A2">
              <w:rPr>
                <w:rFonts w:ascii="Arial" w:hAnsi="Arial" w:cs="Arial"/>
                <w:b/>
                <w:color w:val="000000" w:themeColor="text1"/>
                <w:sz w:val="24"/>
                <w:szCs w:val="24"/>
              </w:rPr>
              <w:t xml:space="preserve"> </w:t>
            </w:r>
          </w:p>
        </w:tc>
      </w:tr>
      <w:tr w:rsidR="000739A2" w:rsidRPr="001F5E68" w14:paraId="181EBC4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E4F2C80" w14:textId="77777777" w:rsidR="000739A2" w:rsidRPr="00B9393B" w:rsidRDefault="000739A2" w:rsidP="000739A2">
            <w:pPr>
              <w:rPr>
                <w:rFonts w:ascii="Arial" w:eastAsia="Calibri" w:hAnsi="Arial" w:cs="Arial"/>
                <w:b/>
                <w:sz w:val="24"/>
                <w:szCs w:val="24"/>
              </w:rPr>
            </w:pPr>
            <w:r w:rsidRPr="00B9393B">
              <w:rPr>
                <w:rFonts w:ascii="Arial" w:eastAsia="Calibri" w:hAnsi="Arial" w:cs="Arial"/>
                <w:b/>
                <w:sz w:val="24"/>
                <w:szCs w:val="24"/>
              </w:rPr>
              <w:t>Pkt B.1.4 Opis projektu/ pkt U Informacje specyficzne</w:t>
            </w:r>
          </w:p>
          <w:p w14:paraId="7E6AF6EC" w14:textId="77777777" w:rsidR="000739A2" w:rsidRDefault="000739A2" w:rsidP="000739A2">
            <w:pPr>
              <w:rPr>
                <w:rFonts w:ascii="Arial" w:eastAsia="Calibri" w:hAnsi="Arial" w:cs="Arial"/>
                <w:sz w:val="24"/>
                <w:szCs w:val="24"/>
              </w:rPr>
            </w:pPr>
            <w:r>
              <w:rPr>
                <w:rFonts w:ascii="Arial" w:eastAsia="Calibri" w:hAnsi="Arial" w:cs="Arial"/>
                <w:sz w:val="24"/>
                <w:szCs w:val="24"/>
              </w:rPr>
              <w:t>Należy wskazać czy w wyniku realizacji projektu:</w:t>
            </w:r>
          </w:p>
          <w:p w14:paraId="688FC66D" w14:textId="77777777" w:rsidR="000739A2" w:rsidRDefault="000739A2" w:rsidP="000739A2">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t>następuje oszczędność energii cieplnej i elektrycznej,</w:t>
            </w:r>
          </w:p>
          <w:p w14:paraId="6EBC25D3" w14:textId="77777777" w:rsidR="000739A2" w:rsidRDefault="000739A2" w:rsidP="000739A2">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lastRenderedPageBreak/>
              <w:t>planowana jest całkowita lub częściowa likwidacja lokalnego nieekologicznego źródła ciepła i zastosowanie instalacji OZE lub kogeneracji opartej na OZE lub rekuperacji,</w:t>
            </w:r>
          </w:p>
          <w:p w14:paraId="430414E0" w14:textId="77777777" w:rsidR="000739A2" w:rsidRDefault="000739A2" w:rsidP="000739A2">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t xml:space="preserve">planowane jest podłączenie budynku do sieci ciepłowniczej, </w:t>
            </w:r>
          </w:p>
          <w:p w14:paraId="128E7548" w14:textId="51999836" w:rsidR="000739A2" w:rsidRPr="008046FA" w:rsidRDefault="000739A2" w:rsidP="000739A2">
            <w:pPr>
              <w:pStyle w:val="Akapitzlist"/>
              <w:numPr>
                <w:ilvl w:val="0"/>
                <w:numId w:val="32"/>
              </w:numPr>
              <w:rPr>
                <w:rFonts w:ascii="Arial" w:eastAsia="Calibri" w:hAnsi="Arial" w:cs="Arial"/>
                <w:sz w:val="24"/>
                <w:szCs w:val="24"/>
              </w:rPr>
            </w:pPr>
            <w:r w:rsidRPr="008046FA">
              <w:rPr>
                <w:rFonts w:ascii="Arial" w:eastAsia="Calibri" w:hAnsi="Arial" w:cs="Arial"/>
                <w:sz w:val="24"/>
                <w:szCs w:val="24"/>
              </w:rPr>
              <w:t>planowana jest wymiana oświetlenia na energooszczędne lub poprawa efektywności energetycznej procesów technologicznych</w:t>
            </w:r>
            <w:r>
              <w:rPr>
                <w:rFonts w:ascii="Arial" w:eastAsia="Calibri" w:hAnsi="Arial" w:cs="Arial"/>
                <w:sz w:val="24"/>
                <w:szCs w:val="24"/>
              </w:rPr>
              <w:t>,</w:t>
            </w:r>
          </w:p>
          <w:p w14:paraId="6142419E" w14:textId="77777777" w:rsidR="000739A2" w:rsidRDefault="000739A2" w:rsidP="000739A2">
            <w:pPr>
              <w:pStyle w:val="Akapitzlist"/>
              <w:numPr>
                <w:ilvl w:val="0"/>
                <w:numId w:val="32"/>
              </w:numPr>
              <w:rPr>
                <w:rFonts w:ascii="Arial" w:eastAsia="Calibri" w:hAnsi="Arial" w:cs="Arial"/>
                <w:sz w:val="24"/>
                <w:szCs w:val="24"/>
              </w:rPr>
            </w:pPr>
            <w:r>
              <w:rPr>
                <w:rFonts w:ascii="Arial" w:eastAsia="Calibri" w:hAnsi="Arial" w:cs="Arial"/>
                <w:sz w:val="24"/>
                <w:szCs w:val="24"/>
              </w:rPr>
              <w:t>planowane jest zastosowanie systemów zarządzania energią;</w:t>
            </w:r>
          </w:p>
          <w:p w14:paraId="0717CFC3" w14:textId="77777777" w:rsidR="000739A2" w:rsidRDefault="000739A2" w:rsidP="000739A2">
            <w:pPr>
              <w:pStyle w:val="Akapitzlist"/>
              <w:numPr>
                <w:ilvl w:val="0"/>
                <w:numId w:val="32"/>
              </w:numPr>
              <w:rPr>
                <w:rFonts w:ascii="Arial" w:eastAsia="Calibri" w:hAnsi="Arial" w:cs="Arial"/>
                <w:sz w:val="24"/>
                <w:szCs w:val="24"/>
              </w:rPr>
            </w:pPr>
            <w:r w:rsidRPr="008046FA">
              <w:rPr>
                <w:rFonts w:ascii="Arial" w:eastAsia="Calibri" w:hAnsi="Arial" w:cs="Arial"/>
                <w:sz w:val="24"/>
                <w:szCs w:val="24"/>
              </w:rPr>
              <w:t>realizowane będą działania niewynikające z audytu energetycznego i realizujące cele Europejskiego Zielonego Ładu (np. zielone dachy, zagospodarowanie wody opadowej, rozwiązania na rzecz gospodarki o obiegu zamkniętym, wykorzystanie materiałów pochodzących z</w:t>
            </w:r>
            <w:r>
              <w:rPr>
                <w:rFonts w:ascii="Arial" w:eastAsia="Calibri" w:hAnsi="Arial" w:cs="Arial"/>
                <w:sz w:val="24"/>
                <w:szCs w:val="24"/>
              </w:rPr>
              <w:t xml:space="preserve"> odzysku i recyklingu)</w:t>
            </w:r>
          </w:p>
          <w:p w14:paraId="5B459980" w14:textId="54896F23" w:rsidR="000739A2" w:rsidRPr="00B9393B" w:rsidRDefault="000739A2" w:rsidP="000739A2">
            <w:pPr>
              <w:pStyle w:val="Akapitzlist"/>
              <w:numPr>
                <w:ilvl w:val="0"/>
                <w:numId w:val="32"/>
              </w:numPr>
              <w:rPr>
                <w:rFonts w:ascii="Arial" w:eastAsia="Calibri" w:hAnsi="Arial" w:cs="Arial"/>
                <w:sz w:val="24"/>
                <w:szCs w:val="24"/>
              </w:rPr>
            </w:pPr>
            <w:r w:rsidRPr="008046FA">
              <w:rPr>
                <w:rFonts w:ascii="Arial" w:eastAsia="Calibri" w:hAnsi="Arial" w:cs="Arial"/>
                <w:sz w:val="24"/>
                <w:szCs w:val="24"/>
              </w:rPr>
              <w:t>realizowane będą działania</w:t>
            </w:r>
            <w:r w:rsidRPr="008F6425">
              <w:rPr>
                <w:rFonts w:ascii="Arial" w:hAnsi="Arial" w:cs="Arial"/>
                <w:sz w:val="24"/>
                <w:szCs w:val="24"/>
              </w:rPr>
              <w:t xml:space="preserve"> dostosowujące obiekt do potrzeb osób z niepełnosprawnościami.</w:t>
            </w:r>
          </w:p>
        </w:tc>
      </w:tr>
      <w:tr w:rsidR="000739A2" w:rsidRPr="001F5E68" w14:paraId="0D95FBD0"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8FBC7B1" w14:textId="77777777" w:rsidR="000739A2" w:rsidRPr="00B9393B" w:rsidRDefault="000739A2" w:rsidP="000739A2">
            <w:pPr>
              <w:rPr>
                <w:rFonts w:ascii="Arial" w:eastAsia="Calibri" w:hAnsi="Arial" w:cs="Arial"/>
                <w:b/>
                <w:sz w:val="24"/>
                <w:szCs w:val="24"/>
              </w:rPr>
            </w:pPr>
            <w:r w:rsidRPr="00B9393B">
              <w:rPr>
                <w:rFonts w:ascii="Arial" w:eastAsia="Calibri" w:hAnsi="Arial" w:cs="Arial"/>
                <w:b/>
                <w:sz w:val="24"/>
                <w:szCs w:val="24"/>
              </w:rPr>
              <w:lastRenderedPageBreak/>
              <w:t>Pkt B.1.4 Opis projektu/ pkt U Informacje specyficzne</w:t>
            </w:r>
          </w:p>
          <w:p w14:paraId="5CBC8C31" w14:textId="77777777" w:rsidR="000739A2" w:rsidRDefault="000739A2" w:rsidP="000739A2">
            <w:pPr>
              <w:pStyle w:val="Akapitzlist"/>
              <w:numPr>
                <w:ilvl w:val="0"/>
                <w:numId w:val="33"/>
              </w:numPr>
              <w:rPr>
                <w:rFonts w:ascii="Arial" w:eastAsia="Calibri" w:hAnsi="Arial" w:cs="Arial"/>
                <w:sz w:val="24"/>
                <w:szCs w:val="24"/>
              </w:rPr>
            </w:pPr>
            <w:r>
              <w:rPr>
                <w:rFonts w:ascii="Arial" w:eastAsia="Calibri" w:hAnsi="Arial" w:cs="Arial"/>
                <w:sz w:val="24"/>
                <w:szCs w:val="24"/>
              </w:rPr>
              <w:t>Należy podać procentową wartość oszczędności energii pierwotnej nieodnawialnej (wzrost efektywności energetycznej) oddzielnie dla każdego z budynków objętego projektem oraz wartość średnią uzyskaną ze wszystkich budynków.</w:t>
            </w:r>
          </w:p>
          <w:p w14:paraId="485B10B6" w14:textId="77777777" w:rsidR="000739A2" w:rsidRDefault="000739A2" w:rsidP="000739A2">
            <w:pPr>
              <w:pStyle w:val="Akapitzlist"/>
              <w:numPr>
                <w:ilvl w:val="0"/>
                <w:numId w:val="33"/>
              </w:numPr>
              <w:rPr>
                <w:rFonts w:ascii="Arial" w:eastAsia="Calibri" w:hAnsi="Arial" w:cs="Arial"/>
                <w:sz w:val="24"/>
                <w:szCs w:val="24"/>
              </w:rPr>
            </w:pPr>
            <w:r>
              <w:rPr>
                <w:rFonts w:ascii="Arial" w:eastAsia="Calibri" w:hAnsi="Arial" w:cs="Arial"/>
                <w:sz w:val="24"/>
                <w:szCs w:val="24"/>
              </w:rPr>
              <w:t>Należy podać procentową wartość redukcji emisji gazów cieplarnianych (CO</w:t>
            </w:r>
            <w:r>
              <w:rPr>
                <w:rFonts w:ascii="Arial" w:eastAsia="Calibri" w:hAnsi="Arial" w:cs="Arial"/>
                <w:sz w:val="24"/>
                <w:szCs w:val="24"/>
              </w:rPr>
              <w:softHyphen/>
            </w:r>
            <w:r w:rsidRPr="00FD2513">
              <w:rPr>
                <w:rFonts w:ascii="Arial" w:eastAsia="Calibri" w:hAnsi="Arial" w:cs="Arial"/>
                <w:sz w:val="24"/>
                <w:szCs w:val="24"/>
                <w:vertAlign w:val="subscript"/>
              </w:rPr>
              <w:t>2</w:t>
            </w:r>
            <w:r w:rsidRPr="00FD2513">
              <w:rPr>
                <w:rFonts w:ascii="Arial" w:eastAsia="Calibri" w:hAnsi="Arial" w:cs="Arial"/>
                <w:sz w:val="24"/>
                <w:szCs w:val="24"/>
                <w:vertAlign w:val="subscript"/>
              </w:rPr>
              <w:softHyphen/>
            </w:r>
            <w:r>
              <w:rPr>
                <w:rFonts w:ascii="Arial" w:eastAsia="Calibri" w:hAnsi="Arial" w:cs="Arial"/>
                <w:sz w:val="24"/>
                <w:szCs w:val="24"/>
              </w:rPr>
              <w:t>) jako wartość średnią uzyskaną ze wszystkich budynków objętych projektem.</w:t>
            </w:r>
          </w:p>
          <w:p w14:paraId="689CF8F2" w14:textId="77777777" w:rsidR="000739A2" w:rsidRDefault="000739A2" w:rsidP="000739A2">
            <w:pPr>
              <w:pStyle w:val="Akapitzlist"/>
              <w:numPr>
                <w:ilvl w:val="0"/>
                <w:numId w:val="33"/>
              </w:numPr>
              <w:rPr>
                <w:rFonts w:ascii="Arial" w:eastAsia="Calibri" w:hAnsi="Arial" w:cs="Arial"/>
                <w:sz w:val="24"/>
                <w:szCs w:val="24"/>
              </w:rPr>
            </w:pPr>
            <w:r>
              <w:rPr>
                <w:rFonts w:ascii="Arial" w:eastAsia="Calibri" w:hAnsi="Arial" w:cs="Arial"/>
                <w:sz w:val="24"/>
                <w:szCs w:val="24"/>
              </w:rPr>
              <w:t xml:space="preserve">Należy podać procentową wartość redukcji emisji pyłów PM10 i PM2,5 jako wartość średnią uzyskaną ze wszystkich budynków objętych projektem </w:t>
            </w:r>
          </w:p>
          <w:p w14:paraId="0BD88C96" w14:textId="69074C28" w:rsidR="000739A2" w:rsidRPr="00B9393B" w:rsidRDefault="000739A2" w:rsidP="000739A2">
            <w:pPr>
              <w:rPr>
                <w:rFonts w:ascii="Arial" w:eastAsia="Calibri" w:hAnsi="Arial" w:cs="Arial"/>
                <w:b/>
                <w:sz w:val="24"/>
                <w:szCs w:val="24"/>
              </w:rPr>
            </w:pPr>
            <w:r w:rsidRPr="001B2FE3">
              <w:rPr>
                <w:rFonts w:ascii="Arial" w:eastAsia="Calibri" w:hAnsi="Arial" w:cs="Arial"/>
                <w:b/>
                <w:sz w:val="24"/>
                <w:szCs w:val="24"/>
              </w:rPr>
              <w:t>UWAGA! Dla budynków nie będących budynkami zabytkowymi warunkiem przyznania dofinansowania jest osiągnięcie minimum 30% oszczędności ene</w:t>
            </w:r>
            <w:r>
              <w:rPr>
                <w:rFonts w:ascii="Arial" w:eastAsia="Calibri" w:hAnsi="Arial" w:cs="Arial"/>
                <w:b/>
                <w:sz w:val="24"/>
                <w:szCs w:val="24"/>
              </w:rPr>
              <w:t>rgii pierwotnej nieodnawialnej (zwiększenia efektywności energetycznej).</w:t>
            </w:r>
          </w:p>
        </w:tc>
      </w:tr>
      <w:tr w:rsidR="000739A2" w:rsidRPr="001F5E68" w14:paraId="504B25A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A33DDA1" w14:textId="0A0888DC" w:rsidR="000739A2" w:rsidRPr="00B9393B" w:rsidRDefault="000739A2" w:rsidP="000739A2">
            <w:pPr>
              <w:rPr>
                <w:rFonts w:ascii="Arial" w:eastAsia="Calibri" w:hAnsi="Arial" w:cs="Arial"/>
                <w:b/>
                <w:sz w:val="24"/>
                <w:szCs w:val="24"/>
              </w:rPr>
            </w:pPr>
            <w:r w:rsidRPr="00B9393B">
              <w:rPr>
                <w:rFonts w:ascii="Arial" w:eastAsia="Calibri" w:hAnsi="Arial" w:cs="Arial"/>
                <w:b/>
                <w:sz w:val="24"/>
                <w:szCs w:val="24"/>
              </w:rPr>
              <w:t>Pkt B.1.4 Opis projektu/ pkt H.4 Dokumentacja konserwatorska</w:t>
            </w:r>
          </w:p>
          <w:p w14:paraId="5FA8BB75" w14:textId="77777777" w:rsidR="000739A2" w:rsidRDefault="000739A2" w:rsidP="000739A2">
            <w:pPr>
              <w:rPr>
                <w:rFonts w:ascii="Arial" w:eastAsia="Calibri" w:hAnsi="Arial" w:cs="Arial"/>
                <w:sz w:val="24"/>
                <w:szCs w:val="24"/>
              </w:rPr>
            </w:pPr>
            <w:r>
              <w:rPr>
                <w:rFonts w:ascii="Arial" w:eastAsia="Calibri" w:hAnsi="Arial" w:cs="Arial"/>
                <w:sz w:val="24"/>
                <w:szCs w:val="24"/>
              </w:rPr>
              <w:t xml:space="preserve">W przypadku </w:t>
            </w:r>
            <w:r w:rsidRPr="007B164A">
              <w:rPr>
                <w:rFonts w:ascii="Arial" w:eastAsia="Calibri" w:hAnsi="Arial" w:cs="Arial"/>
                <w:b/>
                <w:sz w:val="24"/>
                <w:szCs w:val="24"/>
              </w:rPr>
              <w:t>budynków zabytkowych</w:t>
            </w:r>
            <w:r>
              <w:rPr>
                <w:rFonts w:ascii="Arial" w:eastAsia="Calibri" w:hAnsi="Arial" w:cs="Arial"/>
                <w:sz w:val="24"/>
                <w:szCs w:val="24"/>
              </w:rPr>
              <w:t xml:space="preserve"> należy wskazać podstawę ochrony konserwatorskiej. Należy wskazać czy budynek ujęty jest </w:t>
            </w:r>
            <w:r w:rsidRPr="00A64FF7">
              <w:rPr>
                <w:rFonts w:ascii="Arial" w:eastAsia="Calibri" w:hAnsi="Arial" w:cs="Arial"/>
                <w:sz w:val="24"/>
                <w:szCs w:val="24"/>
              </w:rPr>
              <w:t>w rejestrze/wykazie zabytków Wojewódzkiego Konserwatora Zabytków, wojewódzkiej lub gminnej ewidencji zabytków</w:t>
            </w:r>
            <w:r>
              <w:rPr>
                <w:rFonts w:ascii="Arial" w:eastAsia="Calibri" w:hAnsi="Arial" w:cs="Arial"/>
                <w:sz w:val="24"/>
                <w:szCs w:val="24"/>
              </w:rPr>
              <w:t>.</w:t>
            </w:r>
          </w:p>
          <w:p w14:paraId="5A15F3AB" w14:textId="5FFB5BB3" w:rsidR="000739A2" w:rsidRDefault="000739A2" w:rsidP="000739A2">
            <w:pPr>
              <w:rPr>
                <w:rFonts w:ascii="Arial" w:eastAsia="Calibri" w:hAnsi="Arial" w:cs="Arial"/>
                <w:sz w:val="24"/>
                <w:szCs w:val="24"/>
              </w:rPr>
            </w:pPr>
            <w:r>
              <w:rPr>
                <w:rFonts w:ascii="Arial" w:eastAsia="Calibri" w:hAnsi="Arial" w:cs="Arial"/>
                <w:sz w:val="24"/>
                <w:szCs w:val="24"/>
              </w:rPr>
              <w:t xml:space="preserve">Dodatkowo konieczne będzie uzupełnienie informacji </w:t>
            </w:r>
            <w:r w:rsidRPr="004F1A82">
              <w:rPr>
                <w:rFonts w:ascii="Arial" w:eastAsia="Calibri" w:hAnsi="Arial" w:cs="Arial"/>
                <w:sz w:val="24"/>
                <w:szCs w:val="24"/>
              </w:rPr>
              <w:t xml:space="preserve">oraz załączenie odpowiedniej dokumentacji </w:t>
            </w:r>
            <w:r>
              <w:rPr>
                <w:rFonts w:ascii="Arial" w:eastAsia="Calibri" w:hAnsi="Arial" w:cs="Arial"/>
                <w:sz w:val="24"/>
                <w:szCs w:val="24"/>
              </w:rPr>
              <w:t>w formularzu wniosku w pkt. H.4 Dokumentacja konserwatorska.</w:t>
            </w:r>
          </w:p>
          <w:p w14:paraId="726964C1" w14:textId="63333000" w:rsidR="000739A2" w:rsidRPr="007B164A" w:rsidRDefault="000739A2" w:rsidP="000739A2">
            <w:pPr>
              <w:rPr>
                <w:rFonts w:ascii="Arial" w:eastAsia="Calibri" w:hAnsi="Arial" w:cs="Arial"/>
                <w:sz w:val="24"/>
                <w:szCs w:val="24"/>
              </w:rPr>
            </w:pPr>
            <w:r w:rsidRPr="007B164A">
              <w:rPr>
                <w:rFonts w:ascii="Arial" w:eastAsia="Calibri" w:hAnsi="Arial" w:cs="Arial"/>
                <w:sz w:val="24"/>
                <w:szCs w:val="24"/>
              </w:rPr>
              <w:t xml:space="preserve">Dla budynków, dla których na potrzeby realizacji prac modernizacyjnych będzie wymagane uzyskanie decyzji pozwolenia konserwatorskiego już na etap oceny formalnej konieczne będzie przedłożenie decyzji pozwolenia konserwatorskiego. Wyjątkiem od tej zasady są projekty realizowane w trybie zaprojektuj-wybuduj dla których na moment oceny formalnej wymagana jest opinia/ zalecenie/ stanowisko konserwatora zabytków oraz zobowiązanie do przedstawienia pozwolenia </w:t>
            </w:r>
            <w:r w:rsidRPr="007B164A">
              <w:rPr>
                <w:rFonts w:ascii="Arial" w:eastAsia="Calibri" w:hAnsi="Arial" w:cs="Arial"/>
                <w:sz w:val="24"/>
                <w:szCs w:val="24"/>
              </w:rPr>
              <w:lastRenderedPageBreak/>
              <w:t xml:space="preserve">konserwatorskiego najpóźniej na dzień złożenia pierwszego wniosku o płatność obejmującego roboty budowlane. </w:t>
            </w:r>
          </w:p>
        </w:tc>
      </w:tr>
      <w:tr w:rsidR="000739A2" w:rsidRPr="001F5E68" w14:paraId="004AAFD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30682A4" w14:textId="77777777" w:rsidR="000739A2" w:rsidRDefault="000739A2" w:rsidP="000739A2">
            <w:pPr>
              <w:rPr>
                <w:rFonts w:ascii="Arial" w:eastAsia="Calibri" w:hAnsi="Arial" w:cs="Arial"/>
                <w:b/>
                <w:sz w:val="24"/>
                <w:szCs w:val="24"/>
              </w:rPr>
            </w:pPr>
            <w:r>
              <w:rPr>
                <w:rFonts w:ascii="Arial" w:eastAsia="Calibri" w:hAnsi="Arial" w:cs="Arial"/>
                <w:b/>
                <w:sz w:val="24"/>
                <w:szCs w:val="24"/>
              </w:rPr>
              <w:lastRenderedPageBreak/>
              <w:t>Pkt F Zadania i koszty</w:t>
            </w:r>
          </w:p>
          <w:p w14:paraId="3039DBA2" w14:textId="77777777" w:rsidR="000739A2" w:rsidRDefault="000739A2" w:rsidP="000739A2">
            <w:pPr>
              <w:rPr>
                <w:rFonts w:ascii="Arial" w:eastAsia="Calibri" w:hAnsi="Arial" w:cs="Arial"/>
                <w:b/>
                <w:sz w:val="24"/>
                <w:szCs w:val="24"/>
              </w:rPr>
            </w:pPr>
            <w:r w:rsidRPr="00193DD8">
              <w:rPr>
                <w:rFonts w:ascii="Arial" w:eastAsia="Calibri" w:hAnsi="Arial" w:cs="Arial"/>
                <w:sz w:val="24"/>
                <w:szCs w:val="24"/>
              </w:rPr>
              <w:t>W ramach inwestycji finansowane mogą być również uzasadnione działania nie wynikające z audytu pod warunkiem, że będą realizowały cele Europejskiego Zielonego Ładu, jak np. rozwiązania przyczyniające się do zwiększenia powierzchni zielonych (zielone dachy, ściany), rozwiązania na rzecz GOZ, wykorzystanie materiałów pochodzących z odzysku i recyklingu, zagospodarowanie wód opadowych oraz inne elementy, w tym np. działania dostosowujące obiekt do osób z niepełnosprawnościami.</w:t>
            </w:r>
            <w:r w:rsidRPr="005728F3">
              <w:rPr>
                <w:rFonts w:ascii="Arial" w:eastAsia="Calibri" w:hAnsi="Arial" w:cs="Arial"/>
                <w:b/>
                <w:sz w:val="24"/>
                <w:szCs w:val="24"/>
              </w:rPr>
              <w:t xml:space="preserve"> Limit: do 15% kosztów kwalifikowanych.</w:t>
            </w:r>
          </w:p>
          <w:p w14:paraId="3240F02D" w14:textId="4BA8D04F" w:rsidR="000739A2" w:rsidRPr="00B9393B" w:rsidRDefault="000739A2" w:rsidP="000739A2">
            <w:pPr>
              <w:rPr>
                <w:rFonts w:ascii="Arial" w:eastAsia="Calibri" w:hAnsi="Arial" w:cs="Arial"/>
                <w:b/>
                <w:sz w:val="24"/>
                <w:szCs w:val="24"/>
              </w:rPr>
            </w:pPr>
            <w:r>
              <w:rPr>
                <w:rFonts w:ascii="Arial" w:eastAsia="Calibri" w:hAnsi="Arial" w:cs="Arial"/>
                <w:b/>
                <w:sz w:val="24"/>
                <w:szCs w:val="24"/>
              </w:rPr>
              <w:t xml:space="preserve">W przypadku uwzględnienia we wniosku powyższych wydatków należy w pkt F formularza wniosku ująć je w ramach odrębnego Kosztu, dla którego należy przypisać kategorię limitu: „Infrastruktura towarzysząca” lub </w:t>
            </w:r>
            <w:r w:rsidRPr="00233D70">
              <w:rPr>
                <w:rFonts w:ascii="Arial" w:eastAsia="Calibri" w:hAnsi="Arial" w:cs="Arial"/>
                <w:b/>
                <w:sz w:val="24"/>
                <w:szCs w:val="24"/>
              </w:rPr>
              <w:t>Wydatki na dostępność” (dostosowanie budynku)</w:t>
            </w:r>
            <w:r>
              <w:rPr>
                <w:rFonts w:ascii="Arial" w:eastAsia="Calibri" w:hAnsi="Arial" w:cs="Arial"/>
                <w:b/>
                <w:sz w:val="24"/>
                <w:szCs w:val="24"/>
              </w:rPr>
              <w:t xml:space="preserve">. </w:t>
            </w:r>
          </w:p>
        </w:tc>
      </w:tr>
      <w:tr w:rsidR="000739A2" w:rsidRPr="001F5E68" w14:paraId="0779FA2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E9F82C1" w14:textId="77777777" w:rsidR="000739A2" w:rsidRPr="00AF05B8" w:rsidRDefault="000739A2" w:rsidP="000739A2">
            <w:pPr>
              <w:rPr>
                <w:rFonts w:ascii="Arial" w:eastAsia="Calibri" w:hAnsi="Arial" w:cs="Arial"/>
                <w:b/>
                <w:sz w:val="24"/>
                <w:szCs w:val="24"/>
              </w:rPr>
            </w:pPr>
            <w:r w:rsidRPr="00AF05B8">
              <w:rPr>
                <w:rFonts w:ascii="Arial" w:eastAsia="Calibri" w:hAnsi="Arial" w:cs="Arial"/>
                <w:b/>
                <w:sz w:val="24"/>
                <w:szCs w:val="24"/>
              </w:rPr>
              <w:t>Pkt. I.1.2 Test pomocy publicznej</w:t>
            </w:r>
          </w:p>
          <w:p w14:paraId="27078CB1" w14:textId="77777777" w:rsidR="000739A2" w:rsidRDefault="000739A2" w:rsidP="000739A2">
            <w:pPr>
              <w:rPr>
                <w:rFonts w:ascii="Arial" w:eastAsia="Calibri" w:hAnsi="Arial" w:cs="Arial"/>
                <w:b/>
                <w:sz w:val="24"/>
                <w:szCs w:val="24"/>
              </w:rPr>
            </w:pPr>
            <w:r w:rsidRPr="003C4676">
              <w:rPr>
                <w:rFonts w:ascii="Arial" w:eastAsia="Calibri" w:hAnsi="Arial" w:cs="Arial"/>
                <w:sz w:val="24"/>
                <w:szCs w:val="24"/>
              </w:rPr>
              <w:t>W przypadku gdy w ramach projektu zaplanowano budowę instalacji fotowoltaicznych typu on-grid należy mieć na uwadze, że dofinansowanie tego typu instalacji co do zasady spełniać będzie warunki pomocy publicznej. Jednocześnie KE dopuściła wyjątek na podstawie, którego</w:t>
            </w:r>
            <w:r w:rsidRPr="00AF05B8">
              <w:rPr>
                <w:rFonts w:ascii="Arial" w:eastAsia="Calibri" w:hAnsi="Arial" w:cs="Arial"/>
                <w:b/>
                <w:sz w:val="24"/>
                <w:szCs w:val="24"/>
              </w:rPr>
              <w:t xml:space="preserve"> </w:t>
            </w:r>
            <w:r w:rsidRPr="003C4676">
              <w:rPr>
                <w:rFonts w:ascii="Arial" w:eastAsia="Calibri" w:hAnsi="Arial" w:cs="Arial"/>
                <w:sz w:val="24"/>
                <w:szCs w:val="24"/>
              </w:rPr>
              <w:t>dofinansowanie tego typu instalacji może być przyznane na zasadach ogólnych. Wyjątek ten wymaga jednak spełniania następujących warunków:</w:t>
            </w:r>
          </w:p>
          <w:p w14:paraId="412DE881" w14:textId="77777777" w:rsidR="000739A2" w:rsidRPr="00BC436E" w:rsidRDefault="000739A2" w:rsidP="000739A2">
            <w:pPr>
              <w:pStyle w:val="Akapitzlist"/>
              <w:numPr>
                <w:ilvl w:val="0"/>
                <w:numId w:val="44"/>
              </w:numPr>
              <w:spacing w:line="276" w:lineRule="auto"/>
              <w:rPr>
                <w:rFonts w:ascii="Arial" w:hAnsi="Arial" w:cs="Arial"/>
                <w:sz w:val="24"/>
                <w:szCs w:val="24"/>
              </w:rPr>
            </w:pPr>
            <w:r w:rsidRPr="00354EB0">
              <w:rPr>
                <w:rFonts w:ascii="Arial" w:hAnsi="Arial" w:cs="Arial"/>
                <w:sz w:val="24"/>
                <w:szCs w:val="24"/>
              </w:rPr>
              <w:t>instalacja będzie zamontowana na  budynku użyteczności publicznej, w którym, co do zasady nie jest prowadzona działalność gospodarcza (np. szkoła, budynek urzędu gminy, ośrodek zdrowia, jeżeli prowadzona w nim działalność opiera się głównie</w:t>
            </w:r>
            <w:r w:rsidRPr="00BC436E">
              <w:rPr>
                <w:rFonts w:ascii="Arial" w:hAnsi="Arial" w:cs="Arial"/>
                <w:sz w:val="24"/>
                <w:szCs w:val="24"/>
              </w:rPr>
              <w:t xml:space="preserve"> na kontrakcie z NFZ, a działalność gospodarcza ma charakter czysto pomocniczy lub towarzyszący);  </w:t>
            </w:r>
          </w:p>
          <w:p w14:paraId="193D6BD7" w14:textId="77777777" w:rsidR="000739A2" w:rsidRPr="004B2CD0" w:rsidRDefault="000739A2" w:rsidP="000739A2">
            <w:pPr>
              <w:pStyle w:val="Akapitzlist"/>
              <w:numPr>
                <w:ilvl w:val="0"/>
                <w:numId w:val="44"/>
              </w:numPr>
              <w:spacing w:line="276" w:lineRule="auto"/>
              <w:rPr>
                <w:rFonts w:ascii="Arial" w:hAnsi="Arial" w:cs="Arial"/>
                <w:sz w:val="24"/>
                <w:szCs w:val="24"/>
              </w:rPr>
            </w:pPr>
            <w:r w:rsidRPr="004B2CD0">
              <w:rPr>
                <w:rFonts w:ascii="Arial" w:hAnsi="Arial" w:cs="Arial"/>
                <w:sz w:val="24"/>
                <w:szCs w:val="24"/>
              </w:rPr>
              <w:t xml:space="preserve">instalacja spełnia warunki mikro instalacji (w przypadku fotowoltaiki </w:t>
            </w:r>
            <w:r>
              <w:rPr>
                <w:rFonts w:ascii="Arial" w:hAnsi="Arial" w:cs="Arial"/>
                <w:sz w:val="24"/>
                <w:szCs w:val="24"/>
              </w:rPr>
              <w:t>nie więcej niż</w:t>
            </w:r>
            <w:r w:rsidRPr="004B2CD0">
              <w:rPr>
                <w:rFonts w:ascii="Arial" w:hAnsi="Arial" w:cs="Arial"/>
                <w:sz w:val="24"/>
                <w:szCs w:val="24"/>
              </w:rPr>
              <w:t xml:space="preserve"> 50 </w:t>
            </w:r>
            <w:r>
              <w:rPr>
                <w:rFonts w:ascii="Arial" w:hAnsi="Arial" w:cs="Arial"/>
                <w:sz w:val="24"/>
                <w:szCs w:val="24"/>
              </w:rPr>
              <w:t>k</w:t>
            </w:r>
            <w:r w:rsidRPr="004B2CD0">
              <w:rPr>
                <w:rFonts w:ascii="Arial" w:hAnsi="Arial" w:cs="Arial"/>
                <w:sz w:val="24"/>
                <w:szCs w:val="24"/>
              </w:rPr>
              <w:t>W);</w:t>
            </w:r>
          </w:p>
          <w:p w14:paraId="645EDBD0" w14:textId="77777777" w:rsidR="000739A2" w:rsidRPr="004B2CD0" w:rsidRDefault="000739A2" w:rsidP="000739A2">
            <w:pPr>
              <w:pStyle w:val="Akapitzlist"/>
              <w:numPr>
                <w:ilvl w:val="0"/>
                <w:numId w:val="44"/>
              </w:numPr>
              <w:spacing w:line="276" w:lineRule="auto"/>
              <w:rPr>
                <w:rFonts w:ascii="Arial" w:hAnsi="Arial" w:cs="Arial"/>
                <w:sz w:val="24"/>
                <w:szCs w:val="24"/>
              </w:rPr>
            </w:pPr>
            <w:r w:rsidRPr="004B2CD0">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2623AA0F" w14:textId="77777777" w:rsidR="000739A2" w:rsidRPr="004B2CD0" w:rsidRDefault="000739A2" w:rsidP="000739A2">
            <w:pPr>
              <w:pStyle w:val="Akapitzlist"/>
              <w:numPr>
                <w:ilvl w:val="0"/>
                <w:numId w:val="44"/>
              </w:numPr>
              <w:spacing w:line="276" w:lineRule="auto"/>
              <w:rPr>
                <w:rFonts w:ascii="Arial" w:hAnsi="Arial" w:cs="Arial"/>
                <w:sz w:val="24"/>
                <w:szCs w:val="24"/>
              </w:rPr>
            </w:pPr>
            <w:r w:rsidRPr="004B2CD0">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413FBFB7" w14:textId="77777777" w:rsidR="000739A2" w:rsidRPr="004B2CD0" w:rsidRDefault="000739A2" w:rsidP="000739A2">
            <w:pPr>
              <w:pStyle w:val="Akapitzlist"/>
              <w:numPr>
                <w:ilvl w:val="0"/>
                <w:numId w:val="44"/>
              </w:numPr>
              <w:spacing w:line="276" w:lineRule="auto"/>
              <w:rPr>
                <w:rFonts w:ascii="Arial" w:hAnsi="Arial" w:cs="Arial"/>
                <w:sz w:val="24"/>
                <w:szCs w:val="24"/>
              </w:rPr>
            </w:pPr>
            <w:r w:rsidRPr="004B2CD0">
              <w:rPr>
                <w:rFonts w:ascii="Arial" w:hAnsi="Arial" w:cs="Arial"/>
                <w:sz w:val="24"/>
                <w:szCs w:val="24"/>
              </w:rPr>
              <w:t>Wnioskodawca zobowiązany jest do powiadomienia IZ w przypadku przekroczenia wskaźnika 20%.</w:t>
            </w:r>
          </w:p>
          <w:p w14:paraId="25E2C3B0" w14:textId="45AAA726" w:rsidR="000739A2" w:rsidRDefault="000739A2" w:rsidP="000739A2">
            <w:pPr>
              <w:rPr>
                <w:rFonts w:ascii="Arial" w:eastAsia="Calibri" w:hAnsi="Arial" w:cs="Arial"/>
                <w:b/>
                <w:sz w:val="24"/>
                <w:szCs w:val="24"/>
              </w:rPr>
            </w:pPr>
            <w:r w:rsidRPr="00354EB0">
              <w:rPr>
                <w:rFonts w:ascii="Arial" w:hAnsi="Arial" w:cs="Arial"/>
                <w:sz w:val="24"/>
                <w:szCs w:val="24"/>
              </w:rPr>
              <w:lastRenderedPageBreak/>
              <w:t>W przypadku braku spełnienia któregokolwiek ww. warunków np. wielkość instalacji przekraczać będzie pułap mikroinstalacji lub w obiekcie, co do zasady prowadzona jest działalność gospodarcza (np. obiekt użytkowany przez Spółkę komunalną) dofinansowanie może zostać przyznane w oparciu o pomoc de minimis (jeżeli będą spełnione warunki dla tego rodzaju pomocy).</w:t>
            </w:r>
          </w:p>
        </w:tc>
      </w:tr>
      <w:tr w:rsidR="00FE4521" w:rsidRPr="001F5E68" w14:paraId="4840B02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E4636B9" w14:textId="77777777" w:rsidR="00FE4521" w:rsidRPr="00FE4521" w:rsidRDefault="00FE4521" w:rsidP="00FE4521">
            <w:pPr>
              <w:rPr>
                <w:rFonts w:ascii="Arial" w:eastAsia="Calibri" w:hAnsi="Arial" w:cs="Arial"/>
                <w:b/>
                <w:sz w:val="24"/>
                <w:szCs w:val="24"/>
              </w:rPr>
            </w:pPr>
            <w:r w:rsidRPr="00FE4521">
              <w:rPr>
                <w:rFonts w:ascii="Arial" w:eastAsia="Calibri" w:hAnsi="Arial" w:cs="Arial"/>
                <w:b/>
                <w:sz w:val="24"/>
                <w:szCs w:val="24"/>
              </w:rPr>
              <w:lastRenderedPageBreak/>
              <w:t>Pkt N.4.Trwałość finansowa</w:t>
            </w:r>
          </w:p>
          <w:p w14:paraId="4532C873" w14:textId="77DAECC3" w:rsidR="00FE4521" w:rsidRPr="003C4676" w:rsidRDefault="00FE4521" w:rsidP="00FE4521">
            <w:pPr>
              <w:rPr>
                <w:rFonts w:ascii="Arial" w:eastAsia="Calibri" w:hAnsi="Arial" w:cs="Arial"/>
                <w:sz w:val="24"/>
                <w:szCs w:val="24"/>
              </w:rPr>
            </w:pPr>
            <w:r w:rsidRPr="003C4676">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w:t>
            </w:r>
            <w:r w:rsidR="00FD4106" w:rsidRPr="00FD4106">
              <w:rPr>
                <w:rFonts w:ascii="Arial" w:eastAsia="Calibri" w:hAnsi="Arial" w:cs="Arial"/>
                <w:sz w:val="24"/>
                <w:szCs w:val="24"/>
              </w:rPr>
              <w:t>owe zgodnie z zapisami części I</w:t>
            </w:r>
            <w:r w:rsidRPr="003C4676">
              <w:rPr>
                <w:rFonts w:ascii="Arial" w:eastAsia="Calibri" w:hAnsi="Arial" w:cs="Arial"/>
                <w:sz w:val="24"/>
                <w:szCs w:val="24"/>
              </w:rPr>
              <w:t>I. Wykaz załączników i oświadczeń.</w:t>
            </w:r>
          </w:p>
        </w:tc>
      </w:tr>
      <w:tr w:rsidR="00FE4521" w:rsidRPr="001F5E68" w14:paraId="1B1DA6F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2AD6FE3" w14:textId="77777777" w:rsidR="00FE4521" w:rsidRPr="00FE4521" w:rsidRDefault="00FE4521" w:rsidP="00FE4521">
            <w:pPr>
              <w:rPr>
                <w:rFonts w:ascii="Arial" w:eastAsia="Calibri" w:hAnsi="Arial" w:cs="Arial"/>
                <w:b/>
                <w:sz w:val="24"/>
                <w:szCs w:val="24"/>
              </w:rPr>
            </w:pPr>
            <w:r w:rsidRPr="00FE4521">
              <w:rPr>
                <w:rFonts w:ascii="Arial" w:eastAsia="Calibri" w:hAnsi="Arial" w:cs="Arial"/>
                <w:b/>
                <w:sz w:val="24"/>
                <w:szCs w:val="24"/>
              </w:rPr>
              <w:t>Pkt O.2.2 Scenariusz „z projektem”</w:t>
            </w:r>
          </w:p>
          <w:p w14:paraId="52A9F908" w14:textId="77777777" w:rsidR="00FE4521" w:rsidRPr="003C4676" w:rsidRDefault="00FE4521" w:rsidP="00FE4521">
            <w:pPr>
              <w:rPr>
                <w:rFonts w:ascii="Arial" w:eastAsia="Calibri" w:hAnsi="Arial" w:cs="Arial"/>
                <w:sz w:val="24"/>
                <w:szCs w:val="24"/>
              </w:rPr>
            </w:pPr>
            <w:r w:rsidRPr="003C4676">
              <w:rPr>
                <w:rFonts w:ascii="Arial" w:eastAsia="Calibri" w:hAnsi="Arial" w:cs="Arial"/>
                <w:sz w:val="24"/>
                <w:szCs w:val="24"/>
              </w:rPr>
              <w:t>W przypadku projektów dotyczących poprawy efektywności energetycznej, efekty finansowe realizacji projektu winny być ściśle powiązane z wynikami audytu energetycznego budynku/ów sporządzonego na podstawie Szablonu sporządzania audytu energetycznego dla budynków użyteczności publicznej podlegających modernizacji energetycznej w ramach programu Fundusze Europejskie dla Małopolski 2021-2027 (zwanego dalej szablon audytu FEM).</w:t>
            </w:r>
          </w:p>
          <w:p w14:paraId="13CAE5D2" w14:textId="77777777" w:rsidR="00FE4521" w:rsidRDefault="00FE4521" w:rsidP="00FE4521">
            <w:pPr>
              <w:rPr>
                <w:rFonts w:ascii="Arial" w:eastAsia="Calibri" w:hAnsi="Arial" w:cs="Arial"/>
                <w:sz w:val="24"/>
                <w:szCs w:val="24"/>
              </w:rPr>
            </w:pPr>
            <w:r w:rsidRPr="003C4676">
              <w:rPr>
                <w:rFonts w:ascii="Arial" w:eastAsia="Calibri" w:hAnsi="Arial" w:cs="Arial"/>
                <w:sz w:val="24"/>
                <w:szCs w:val="24"/>
              </w:rPr>
              <w:t>Dopuszczalne odstępstwo w zakresie przedłożenia audytu energetycznego zostało określone w zapisach Regulaminu wyboru projektów.</w:t>
            </w:r>
          </w:p>
          <w:p w14:paraId="57047C90" w14:textId="124FA072" w:rsidR="00FE4521" w:rsidRPr="00FE4521" w:rsidRDefault="00FE4521" w:rsidP="00FE4521">
            <w:pPr>
              <w:rPr>
                <w:rFonts w:ascii="Arial" w:eastAsia="Calibri" w:hAnsi="Arial" w:cs="Arial"/>
                <w:sz w:val="24"/>
                <w:szCs w:val="24"/>
              </w:rPr>
            </w:pPr>
            <w:r>
              <w:t xml:space="preserve"> </w:t>
            </w:r>
            <w:r w:rsidRPr="00FE4521">
              <w:rPr>
                <w:rFonts w:ascii="Arial" w:eastAsia="Calibri" w:hAnsi="Arial" w:cs="Arial"/>
                <w:sz w:val="24"/>
                <w:szCs w:val="24"/>
              </w:rPr>
              <w:t>W związku z powyższym wystarczające jest sporządzenie scenariuszy ograniczonych do poziomów wskazanych w audycie, czyli do sumarycznych kosztów zużycia energii w każdym budynku przed i po modernizacji.</w:t>
            </w:r>
          </w:p>
          <w:p w14:paraId="622B93C6" w14:textId="77777777" w:rsidR="00FE4521" w:rsidRPr="00FE4521" w:rsidRDefault="00FE4521" w:rsidP="00FE4521">
            <w:pPr>
              <w:rPr>
                <w:rFonts w:ascii="Arial" w:eastAsia="Calibri" w:hAnsi="Arial" w:cs="Arial"/>
                <w:sz w:val="24"/>
                <w:szCs w:val="24"/>
              </w:rPr>
            </w:pPr>
            <w:r w:rsidRPr="00FE4521">
              <w:rPr>
                <w:rFonts w:ascii="Arial" w:eastAsia="Calibri" w:hAnsi="Arial" w:cs="Arial"/>
                <w:sz w:val="24"/>
                <w:szCs w:val="24"/>
              </w:rPr>
              <w:t>Należy jednak pamiętać również, iż w przypadku, kiedy w ramach inwestycji finansowane będą działania nie wynikające z audytu muszą one zostać również odpowiednio ujęte w scenariuszach oraz uzasadnione zgodnie z zapisami określonymi w Rozdziale 13.3 Wademekum Wiedzy o Wniosku.</w:t>
            </w:r>
          </w:p>
          <w:p w14:paraId="3CD10F9C" w14:textId="77777777" w:rsidR="00FE4521" w:rsidRPr="00FE4521" w:rsidRDefault="00FE4521" w:rsidP="00FE4521">
            <w:pPr>
              <w:rPr>
                <w:rFonts w:ascii="Arial" w:eastAsia="Calibri" w:hAnsi="Arial" w:cs="Arial"/>
                <w:sz w:val="24"/>
                <w:szCs w:val="24"/>
              </w:rPr>
            </w:pPr>
            <w:r w:rsidRPr="00FE4521">
              <w:rPr>
                <w:rFonts w:ascii="Arial" w:eastAsia="Calibri" w:hAnsi="Arial" w:cs="Arial"/>
                <w:sz w:val="24"/>
                <w:szCs w:val="24"/>
              </w:rPr>
              <w:t>Obliczenia należy dokonać w załączniku Analiza Finansowa, arkusz Założenia, Obliczenia oraz powiązać w razie konieczności z innymi arkuszami np. Wyniki i/lub Trwałość Finansowa.</w:t>
            </w:r>
          </w:p>
          <w:p w14:paraId="049D2193" w14:textId="3B50B71A" w:rsidR="00FE4521" w:rsidRPr="00B9393B" w:rsidRDefault="00FE4521" w:rsidP="00FE4521">
            <w:pPr>
              <w:rPr>
                <w:rFonts w:ascii="Arial" w:eastAsia="Calibri" w:hAnsi="Arial" w:cs="Arial"/>
                <w:b/>
                <w:sz w:val="24"/>
                <w:szCs w:val="24"/>
              </w:rPr>
            </w:pPr>
            <w:r w:rsidRPr="00FE4521">
              <w:rPr>
                <w:rFonts w:ascii="Arial" w:eastAsia="Calibri" w:hAnsi="Arial" w:cs="Arial"/>
                <w:sz w:val="24"/>
                <w:szCs w:val="24"/>
              </w:rPr>
              <w:t>Opis i uzasadnienie należy dokonać w pkt. O.2.2 wniosku.</w:t>
            </w:r>
          </w:p>
        </w:tc>
      </w:tr>
      <w:tr w:rsidR="00FE4521" w:rsidRPr="001F5E68" w14:paraId="4AEC537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6109485" w14:textId="77777777" w:rsidR="0094107D" w:rsidRPr="0094107D" w:rsidRDefault="0094107D" w:rsidP="0094107D">
            <w:pPr>
              <w:rPr>
                <w:rFonts w:ascii="Arial" w:eastAsia="Calibri" w:hAnsi="Arial" w:cs="Arial"/>
                <w:b/>
                <w:sz w:val="24"/>
                <w:szCs w:val="24"/>
              </w:rPr>
            </w:pPr>
            <w:r w:rsidRPr="0094107D">
              <w:rPr>
                <w:rFonts w:ascii="Arial" w:eastAsia="Calibri" w:hAnsi="Arial" w:cs="Arial"/>
                <w:b/>
                <w:sz w:val="24"/>
                <w:szCs w:val="24"/>
              </w:rPr>
              <w:t>Pkt O.2.3 Przychody operacyjne projektu:</w:t>
            </w:r>
          </w:p>
          <w:p w14:paraId="2B8FE90D" w14:textId="451E77C6" w:rsidR="00FE4521" w:rsidRPr="003C4676" w:rsidRDefault="0094107D" w:rsidP="0094107D">
            <w:pPr>
              <w:rPr>
                <w:rFonts w:ascii="Arial" w:eastAsia="Calibri" w:hAnsi="Arial" w:cs="Arial"/>
                <w:sz w:val="24"/>
                <w:szCs w:val="24"/>
              </w:rPr>
            </w:pPr>
            <w:r w:rsidRPr="003C4676">
              <w:rPr>
                <w:rFonts w:ascii="Arial" w:eastAsia="Calibri" w:hAnsi="Arial" w:cs="Arial"/>
                <w:sz w:val="24"/>
                <w:szCs w:val="24"/>
              </w:rPr>
              <w:t xml:space="preserve">W przypadku projektów dotyczących poprawy efektywności energetycznej budynków, zasadniczym efektem jest spadek kosztów utrzymania budynku. Należy jednak przeanalizować czy jego realizacja będzie związana z generowaniem przychodów. Jeśli projekt wpłynie na poziom przychodów (np. zmiana stawek najmu), lub pojawią się nowe źródła przychodów, należy wówczas sporządzić </w:t>
            </w:r>
            <w:r w:rsidRPr="003C4676">
              <w:rPr>
                <w:rFonts w:ascii="Arial" w:eastAsia="Calibri" w:hAnsi="Arial" w:cs="Arial"/>
                <w:sz w:val="24"/>
                <w:szCs w:val="24"/>
              </w:rPr>
              <w:lastRenderedPageBreak/>
              <w:t>prognozę przychodów dla scenariusza z projektem i bez, w odniesieniu do danego rodzaju przychodu (jego poziom przed i po modernizacji), w podziale na poszczególne budynki, a następnie w ujęciu zbiorczym.</w:t>
            </w:r>
          </w:p>
        </w:tc>
      </w:tr>
      <w:tr w:rsidR="00FE4521" w:rsidRPr="001F5E68" w14:paraId="4450808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C64DC11" w14:textId="77777777" w:rsidR="0094107D" w:rsidRPr="0094107D" w:rsidRDefault="0094107D" w:rsidP="0094107D">
            <w:pPr>
              <w:rPr>
                <w:rFonts w:ascii="Arial" w:eastAsia="Calibri" w:hAnsi="Arial" w:cs="Arial"/>
                <w:b/>
                <w:sz w:val="24"/>
                <w:szCs w:val="24"/>
              </w:rPr>
            </w:pPr>
            <w:r w:rsidRPr="0094107D">
              <w:rPr>
                <w:rFonts w:ascii="Arial" w:eastAsia="Calibri" w:hAnsi="Arial" w:cs="Arial"/>
                <w:b/>
                <w:sz w:val="24"/>
                <w:szCs w:val="24"/>
              </w:rPr>
              <w:lastRenderedPageBreak/>
              <w:t>Pkt O.2.4 Koszty operacyjne projektu:</w:t>
            </w:r>
          </w:p>
          <w:p w14:paraId="445B63B3" w14:textId="77777777" w:rsidR="0094107D" w:rsidRPr="003C4676" w:rsidRDefault="0094107D" w:rsidP="0094107D">
            <w:pPr>
              <w:rPr>
                <w:rFonts w:ascii="Arial" w:eastAsia="Calibri" w:hAnsi="Arial" w:cs="Arial"/>
                <w:sz w:val="24"/>
                <w:szCs w:val="24"/>
              </w:rPr>
            </w:pPr>
            <w:r w:rsidRPr="003C4676">
              <w:rPr>
                <w:rFonts w:ascii="Arial" w:eastAsia="Calibri" w:hAnsi="Arial" w:cs="Arial"/>
                <w:sz w:val="24"/>
                <w:szCs w:val="24"/>
              </w:rPr>
              <w:t>Należy pamiętać, że w przypadku projektów dotyczących poprawy efektywności energetycznej budynków podstawowym dokumentem dla projekcji kosztów jest audyt energetyczny budynku. W audycie energetycznego przygotowanym zgodnie z szablonem audytu FEM, wskazane są koszty zużycia energii przed i po modernizacji i odwzorowane w załączniku Analiza Finansowa - arkusz Obliczenia. Wykorzystując te dane (ograniczone do poziomu zużycia energii) należy sporządzić prognozę kosztów operacyjnych dla scenariusza bez i z projektem (bez konieczności pokazywania całościowych kosztów utrzymania budynku). Prognozy należy sporządzić w podziale na poszczególne budynki, a następnie w ujęciu zbiorczym.</w:t>
            </w:r>
          </w:p>
          <w:p w14:paraId="3F914D55" w14:textId="010C96AF" w:rsidR="00FE4521" w:rsidRPr="00B9393B" w:rsidRDefault="0094107D" w:rsidP="0094107D">
            <w:pPr>
              <w:rPr>
                <w:rFonts w:ascii="Arial" w:eastAsia="Calibri" w:hAnsi="Arial" w:cs="Arial"/>
                <w:b/>
                <w:sz w:val="24"/>
                <w:szCs w:val="24"/>
              </w:rPr>
            </w:pPr>
            <w:r w:rsidRPr="003C4676">
              <w:rPr>
                <w:rFonts w:ascii="Arial" w:eastAsia="Calibri" w:hAnsi="Arial" w:cs="Arial"/>
                <w:sz w:val="24"/>
                <w:szCs w:val="24"/>
              </w:rPr>
              <w:t>Jeżeli projekt wpłynie na zmianę poziomu innych kosztów rodzajowych (pominiętych w audycie) należy je uwzględnić w scenariuszach, wpisując uzasadnienie i przyjęte do obliczeń założenia.</w:t>
            </w:r>
          </w:p>
        </w:tc>
      </w:tr>
      <w:tr w:rsidR="000739A2" w:rsidRPr="001F5E68" w14:paraId="0E832C7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4513929" w14:textId="0AB419B5" w:rsidR="000739A2" w:rsidRPr="00B9393B" w:rsidRDefault="000739A2" w:rsidP="000739A2">
            <w:pPr>
              <w:rPr>
                <w:rFonts w:ascii="Arial" w:eastAsia="Calibri" w:hAnsi="Arial" w:cs="Arial"/>
                <w:b/>
                <w:sz w:val="24"/>
                <w:szCs w:val="24"/>
              </w:rPr>
            </w:pPr>
            <w:r w:rsidRPr="00B9393B">
              <w:rPr>
                <w:rFonts w:ascii="Arial" w:eastAsia="Calibri" w:hAnsi="Arial" w:cs="Arial"/>
                <w:b/>
                <w:sz w:val="24"/>
                <w:szCs w:val="24"/>
              </w:rPr>
              <w:t>Pkt U Informacje specyficzne</w:t>
            </w:r>
          </w:p>
          <w:p w14:paraId="7F324F25" w14:textId="7B8F511A" w:rsidR="000739A2" w:rsidRPr="009A1BCB" w:rsidRDefault="000739A2" w:rsidP="000739A2">
            <w:pPr>
              <w:rPr>
                <w:rFonts w:ascii="Arial" w:eastAsia="Calibri" w:hAnsi="Arial" w:cs="Arial"/>
                <w:sz w:val="24"/>
                <w:szCs w:val="24"/>
              </w:rPr>
            </w:pPr>
            <w:r>
              <w:rPr>
                <w:rFonts w:ascii="Arial" w:eastAsia="Calibri" w:hAnsi="Arial" w:cs="Arial"/>
                <w:sz w:val="24"/>
                <w:szCs w:val="24"/>
              </w:rPr>
              <w:t xml:space="preserve">Należy potwierdzić (oświadczyć), </w:t>
            </w:r>
            <w:r w:rsidRPr="009A1BCB">
              <w:rPr>
                <w:rFonts w:ascii="Arial" w:eastAsia="Calibri" w:hAnsi="Arial" w:cs="Arial"/>
                <w:sz w:val="24"/>
                <w:szCs w:val="24"/>
              </w:rPr>
              <w:t>że na obszarze realizacji projektu egzekwowane są zapisy Uchwały Nr XXXII/452/17 Sejmiku Województwa Małopolskiego z dnia 23 stycznia 2017 r. w sprawie wprowadzenia na obszarze województwa małopolskiego ograniczeń i zakazów w zakresie eksploatacji instalacji, w których następuje spalanie paliw w brzmieniu nadanym Uchwałą Nr LIX/842/22 Sejmiku Województwa Małopolskiego z dnia 26 września 2022 r. oraz lokalnych uchwał antysmogowych na obszarach, na których one obowiązują.</w:t>
            </w:r>
          </w:p>
          <w:p w14:paraId="2BF91ABA" w14:textId="14AD53CD" w:rsidR="000739A2" w:rsidRDefault="000739A2" w:rsidP="000739A2">
            <w:pPr>
              <w:pStyle w:val="Akapitzlist"/>
              <w:ind w:left="0"/>
              <w:rPr>
                <w:rFonts w:ascii="Arial" w:eastAsia="Calibri" w:hAnsi="Arial" w:cs="Arial"/>
                <w:sz w:val="24"/>
                <w:szCs w:val="24"/>
              </w:rPr>
            </w:pPr>
            <w:r>
              <w:rPr>
                <w:rFonts w:ascii="Arial" w:eastAsia="Calibri" w:hAnsi="Arial" w:cs="Arial"/>
                <w:sz w:val="24"/>
                <w:szCs w:val="24"/>
              </w:rPr>
              <w:t xml:space="preserve">Należy potwierdzić, że na obszarze realizacji projektu nie zostały wprowadzone zmiany łagodzące </w:t>
            </w:r>
            <w:r w:rsidRPr="001F122D">
              <w:rPr>
                <w:rFonts w:ascii="Arial" w:eastAsia="Calibri" w:hAnsi="Arial" w:cs="Arial"/>
                <w:sz w:val="24"/>
                <w:szCs w:val="24"/>
              </w:rPr>
              <w:t>ograniczenia i zakazy dotyczące eksploatacji instalacji lub odroczenie terminów ich wejścia w życie</w:t>
            </w:r>
            <w:r>
              <w:rPr>
                <w:rFonts w:ascii="Arial" w:eastAsia="Calibri" w:hAnsi="Arial" w:cs="Arial"/>
                <w:sz w:val="24"/>
                <w:szCs w:val="24"/>
              </w:rPr>
              <w:t>.</w:t>
            </w:r>
          </w:p>
        </w:tc>
      </w:tr>
      <w:tr w:rsidR="000739A2" w:rsidRPr="001F5E68" w14:paraId="1AA8295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70E240E" w14:textId="05A16801" w:rsidR="000739A2" w:rsidRPr="00B9393B" w:rsidRDefault="000739A2" w:rsidP="000739A2">
            <w:pPr>
              <w:rPr>
                <w:rFonts w:ascii="Arial" w:eastAsia="Calibri" w:hAnsi="Arial" w:cs="Arial"/>
                <w:b/>
                <w:sz w:val="24"/>
                <w:szCs w:val="24"/>
              </w:rPr>
            </w:pPr>
            <w:r w:rsidRPr="00B9393B">
              <w:rPr>
                <w:rFonts w:ascii="Arial" w:eastAsia="Calibri" w:hAnsi="Arial" w:cs="Arial"/>
                <w:b/>
                <w:sz w:val="24"/>
                <w:szCs w:val="24"/>
              </w:rPr>
              <w:t>Pkt U Informacje specyficzne</w:t>
            </w:r>
            <w:r>
              <w:rPr>
                <w:rFonts w:ascii="Arial" w:eastAsia="Calibri" w:hAnsi="Arial" w:cs="Arial"/>
                <w:b/>
                <w:sz w:val="24"/>
                <w:szCs w:val="24"/>
              </w:rPr>
              <w:t xml:space="preserve"> – wymiana i modernizacja urządzeń grzewczych </w:t>
            </w:r>
          </w:p>
          <w:p w14:paraId="387292C2" w14:textId="05A08AF7" w:rsidR="000739A2" w:rsidRPr="008315D0" w:rsidRDefault="000739A2" w:rsidP="000739A2">
            <w:pPr>
              <w:pStyle w:val="Akapitzlist"/>
              <w:numPr>
                <w:ilvl w:val="0"/>
                <w:numId w:val="35"/>
              </w:numPr>
              <w:rPr>
                <w:rFonts w:ascii="Arial" w:eastAsia="Calibri" w:hAnsi="Arial" w:cs="Arial"/>
                <w:sz w:val="24"/>
                <w:szCs w:val="24"/>
              </w:rPr>
            </w:pPr>
            <w:r w:rsidRPr="008315D0">
              <w:rPr>
                <w:rFonts w:ascii="Arial" w:eastAsia="Calibri" w:hAnsi="Arial" w:cs="Arial"/>
                <w:sz w:val="24"/>
                <w:szCs w:val="24"/>
              </w:rPr>
              <w:t>W przypadku wymiany lub mode</w:t>
            </w:r>
            <w:r>
              <w:rPr>
                <w:rFonts w:ascii="Arial" w:eastAsia="Calibri" w:hAnsi="Arial" w:cs="Arial"/>
                <w:sz w:val="24"/>
                <w:szCs w:val="24"/>
              </w:rPr>
              <w:t xml:space="preserve">rnizacji urządzenia grzewczego, </w:t>
            </w:r>
            <w:r w:rsidRPr="008315D0">
              <w:rPr>
                <w:rFonts w:ascii="Arial" w:eastAsia="Calibri" w:hAnsi="Arial" w:cs="Arial"/>
                <w:sz w:val="24"/>
                <w:szCs w:val="24"/>
              </w:rPr>
              <w:t>w ramach projektu należy potwierdzić, że projektowane źródła ciepła będą charakteryzować się obowiązującym minimalnym poziomem efektywności energetycznej i normami emisji zanieczysz</w:t>
            </w:r>
            <w:r>
              <w:rPr>
                <w:rFonts w:ascii="Arial" w:eastAsia="Calibri" w:hAnsi="Arial" w:cs="Arial"/>
                <w:sz w:val="24"/>
                <w:szCs w:val="24"/>
              </w:rPr>
              <w:t>czeń, które zostały określone w </w:t>
            </w:r>
            <w:r w:rsidRPr="008315D0">
              <w:rPr>
                <w:rFonts w:ascii="Arial" w:eastAsia="Calibri" w:hAnsi="Arial" w:cs="Arial"/>
                <w:sz w:val="24"/>
                <w:szCs w:val="24"/>
              </w:rPr>
              <w:t>Dyrektywie 2009/125/WE z dnia 21 października 2009 r. ustanawiającej ogólne zasady ustalania wymogów dotyczących ekoprojektu dla produktów związanych z energią</w:t>
            </w:r>
            <w:r>
              <w:rPr>
                <w:rFonts w:ascii="Arial" w:eastAsia="Calibri" w:hAnsi="Arial" w:cs="Arial"/>
                <w:sz w:val="24"/>
                <w:szCs w:val="24"/>
              </w:rPr>
              <w:t>.</w:t>
            </w:r>
          </w:p>
          <w:p w14:paraId="2031DEDC" w14:textId="6534D4F5" w:rsidR="000739A2" w:rsidRPr="008315D0" w:rsidRDefault="000739A2" w:rsidP="000739A2">
            <w:pPr>
              <w:pStyle w:val="Akapitzlist"/>
              <w:numPr>
                <w:ilvl w:val="0"/>
                <w:numId w:val="35"/>
              </w:numPr>
              <w:rPr>
                <w:rFonts w:ascii="Arial" w:eastAsia="Calibri" w:hAnsi="Arial" w:cs="Arial"/>
                <w:sz w:val="24"/>
                <w:szCs w:val="24"/>
              </w:rPr>
            </w:pPr>
            <w:r w:rsidRPr="008315D0">
              <w:rPr>
                <w:rFonts w:ascii="Arial" w:eastAsia="Calibri" w:hAnsi="Arial" w:cs="Arial"/>
                <w:sz w:val="24"/>
                <w:szCs w:val="24"/>
              </w:rPr>
              <w:t>W przypadku projektów obejmujących w swym zakresie wymianę lub modernizację urządzenia grzewczego na paliwo stałe o mocy do 1 MW należy potwierdzić</w:t>
            </w:r>
            <w:r>
              <w:rPr>
                <w:rFonts w:ascii="Arial" w:eastAsia="Calibri" w:hAnsi="Arial" w:cs="Arial"/>
                <w:sz w:val="24"/>
                <w:szCs w:val="24"/>
              </w:rPr>
              <w:t>, że</w:t>
            </w:r>
            <w:r w:rsidRPr="008315D0">
              <w:rPr>
                <w:rFonts w:ascii="Arial" w:eastAsia="Calibri" w:hAnsi="Arial" w:cs="Arial"/>
                <w:sz w:val="24"/>
                <w:szCs w:val="24"/>
              </w:rPr>
              <w:t>:</w:t>
            </w:r>
          </w:p>
          <w:p w14:paraId="0FCAA983" w14:textId="77777777" w:rsidR="000739A2" w:rsidRDefault="000739A2" w:rsidP="000739A2">
            <w:pPr>
              <w:pStyle w:val="Akapitzlist"/>
              <w:numPr>
                <w:ilvl w:val="0"/>
                <w:numId w:val="34"/>
              </w:numPr>
              <w:rPr>
                <w:rFonts w:ascii="Arial" w:eastAsia="Calibri" w:hAnsi="Arial" w:cs="Arial"/>
                <w:sz w:val="24"/>
                <w:szCs w:val="24"/>
              </w:rPr>
            </w:pPr>
            <w:r w:rsidRPr="008315D0">
              <w:rPr>
                <w:rFonts w:ascii="Arial" w:eastAsia="Calibri" w:hAnsi="Arial" w:cs="Arial"/>
                <w:sz w:val="24"/>
                <w:szCs w:val="24"/>
              </w:rPr>
              <w:lastRenderedPageBreak/>
              <w:t>finansowane w projekcie instalacje na biomasę nie przekroczą dopuszczalnego poziomu emisji cząstek stałych do 20 mg/m³ (przy 10% O2),</w:t>
            </w:r>
          </w:p>
          <w:p w14:paraId="4652678A" w14:textId="1FE5D9E7" w:rsidR="000739A2" w:rsidRDefault="000739A2" w:rsidP="000739A2">
            <w:pPr>
              <w:pStyle w:val="Akapitzlist"/>
              <w:numPr>
                <w:ilvl w:val="0"/>
                <w:numId w:val="34"/>
              </w:numPr>
              <w:rPr>
                <w:rFonts w:ascii="Arial" w:eastAsia="Calibri" w:hAnsi="Arial" w:cs="Arial"/>
                <w:sz w:val="24"/>
                <w:szCs w:val="24"/>
              </w:rPr>
            </w:pPr>
            <w:r>
              <w:rPr>
                <w:rFonts w:ascii="Arial" w:eastAsia="Calibri" w:hAnsi="Arial" w:cs="Arial"/>
                <w:sz w:val="24"/>
                <w:szCs w:val="24"/>
              </w:rPr>
              <w:t>dla finansowanych</w:t>
            </w:r>
            <w:r w:rsidRPr="008315D0">
              <w:rPr>
                <w:rFonts w:ascii="Arial" w:eastAsia="Calibri" w:hAnsi="Arial" w:cs="Arial"/>
                <w:sz w:val="24"/>
                <w:szCs w:val="24"/>
              </w:rPr>
              <w:t xml:space="preserve"> w projekcie kotłów z ręcznym poddawaniem paliwa (kotły zgazowujące) obowiązkowo </w:t>
            </w:r>
            <w:r>
              <w:rPr>
                <w:rFonts w:ascii="Arial" w:eastAsia="Calibri" w:hAnsi="Arial" w:cs="Arial"/>
                <w:sz w:val="24"/>
                <w:szCs w:val="24"/>
              </w:rPr>
              <w:t xml:space="preserve">zostaną zamontowane </w:t>
            </w:r>
            <w:r w:rsidRPr="008315D0">
              <w:rPr>
                <w:rFonts w:ascii="Arial" w:eastAsia="Calibri" w:hAnsi="Arial" w:cs="Arial"/>
                <w:sz w:val="24"/>
                <w:szCs w:val="24"/>
              </w:rPr>
              <w:t xml:space="preserve">zbiorniki buforowe. </w:t>
            </w:r>
          </w:p>
          <w:p w14:paraId="56FB1B4F" w14:textId="77777777" w:rsidR="000739A2" w:rsidRDefault="000739A2" w:rsidP="000739A2">
            <w:pPr>
              <w:pStyle w:val="Akapitzlist"/>
              <w:rPr>
                <w:rFonts w:ascii="Arial" w:eastAsia="Calibri" w:hAnsi="Arial" w:cs="Arial"/>
                <w:sz w:val="24"/>
                <w:szCs w:val="24"/>
              </w:rPr>
            </w:pPr>
            <w:r w:rsidRPr="008315D0">
              <w:rPr>
                <w:rFonts w:ascii="Arial" w:eastAsia="Calibri" w:hAnsi="Arial" w:cs="Arial"/>
                <w:sz w:val="24"/>
                <w:szCs w:val="24"/>
              </w:rPr>
              <w:t>Jeżeli tego rodzaju kotły są już zainstalowane w bud</w:t>
            </w:r>
            <w:r>
              <w:rPr>
                <w:rFonts w:ascii="Arial" w:eastAsia="Calibri" w:hAnsi="Arial" w:cs="Arial"/>
                <w:sz w:val="24"/>
                <w:szCs w:val="24"/>
              </w:rPr>
              <w:t>ynku to również obowiązkowe jest</w:t>
            </w:r>
            <w:r w:rsidRPr="008315D0">
              <w:rPr>
                <w:rFonts w:ascii="Arial" w:eastAsia="Calibri" w:hAnsi="Arial" w:cs="Arial"/>
                <w:sz w:val="24"/>
                <w:szCs w:val="24"/>
              </w:rPr>
              <w:t xml:space="preserve"> zastosowanie zbiorników buforowych. Minimalna pojemność zbiorników buforowych powinna być zgodna z dokumentacją techniczną kotła</w:t>
            </w:r>
            <w:r>
              <w:rPr>
                <w:rFonts w:ascii="Arial" w:eastAsia="Calibri" w:hAnsi="Arial" w:cs="Arial"/>
                <w:sz w:val="24"/>
                <w:szCs w:val="24"/>
              </w:rPr>
              <w:t>.</w:t>
            </w:r>
          </w:p>
          <w:p w14:paraId="60A35707" w14:textId="302118DD" w:rsidR="000739A2" w:rsidRDefault="000739A2" w:rsidP="000739A2">
            <w:pPr>
              <w:pStyle w:val="Akapitzlist"/>
              <w:numPr>
                <w:ilvl w:val="0"/>
                <w:numId w:val="35"/>
              </w:numPr>
              <w:rPr>
                <w:rFonts w:ascii="Arial" w:eastAsia="Calibri" w:hAnsi="Arial" w:cs="Arial"/>
                <w:sz w:val="24"/>
                <w:szCs w:val="24"/>
              </w:rPr>
            </w:pPr>
            <w:r>
              <w:rPr>
                <w:rFonts w:ascii="Arial" w:eastAsia="Calibri" w:hAnsi="Arial" w:cs="Arial"/>
                <w:sz w:val="24"/>
                <w:szCs w:val="24"/>
              </w:rPr>
              <w:t xml:space="preserve">W przypadku projektów, w ramach których elementem będzie wymiana źródła ciepła i instalacji grzewczych zasilanych </w:t>
            </w:r>
            <w:r w:rsidRPr="00142927">
              <w:rPr>
                <w:rFonts w:ascii="Arial" w:eastAsia="Calibri" w:hAnsi="Arial" w:cs="Arial"/>
                <w:sz w:val="24"/>
                <w:szCs w:val="24"/>
              </w:rPr>
              <w:t xml:space="preserve">stałymi paliwami kopalnymi, czyli węglem kamiennym, torfem, węglem </w:t>
            </w:r>
            <w:r>
              <w:rPr>
                <w:rFonts w:ascii="Arial" w:eastAsia="Calibri" w:hAnsi="Arial" w:cs="Arial"/>
                <w:sz w:val="24"/>
                <w:szCs w:val="24"/>
              </w:rPr>
              <w:t xml:space="preserve">brunatnym, łupkami bitumicznymi </w:t>
            </w:r>
            <w:r w:rsidRPr="007A3153">
              <w:rPr>
                <w:rFonts w:ascii="Arial" w:eastAsia="Calibri" w:hAnsi="Arial" w:cs="Arial"/>
                <w:b/>
                <w:sz w:val="24"/>
                <w:szCs w:val="24"/>
              </w:rPr>
              <w:t>na kotły grzewcze i systemy grzewcze zasilane gazem ziemnym</w:t>
            </w:r>
            <w:r>
              <w:rPr>
                <w:rFonts w:ascii="Arial" w:eastAsia="Calibri" w:hAnsi="Arial" w:cs="Arial"/>
                <w:sz w:val="24"/>
                <w:szCs w:val="24"/>
              </w:rPr>
              <w:t xml:space="preserve"> należy potwierdzić, że:</w:t>
            </w:r>
          </w:p>
          <w:p w14:paraId="00C3AF3B" w14:textId="6E37C1E3" w:rsidR="000739A2" w:rsidRDefault="000739A2" w:rsidP="000739A2">
            <w:pPr>
              <w:pStyle w:val="Akapitzlist"/>
              <w:numPr>
                <w:ilvl w:val="0"/>
                <w:numId w:val="40"/>
              </w:numPr>
              <w:rPr>
                <w:rFonts w:ascii="Arial" w:eastAsia="Calibri" w:hAnsi="Arial" w:cs="Arial"/>
                <w:sz w:val="24"/>
                <w:szCs w:val="24"/>
              </w:rPr>
            </w:pPr>
            <w:r>
              <w:rPr>
                <w:rFonts w:ascii="Arial" w:eastAsia="Calibri" w:hAnsi="Arial" w:cs="Arial"/>
                <w:sz w:val="24"/>
                <w:szCs w:val="24"/>
              </w:rPr>
              <w:t>nie jest możliwe przyłączenie budynku do sieci ciepłowniczej na obszarze objętym projektem ze względów technicznych lub w przypadku braku opłacalności ekonomicznej oraz</w:t>
            </w:r>
          </w:p>
          <w:p w14:paraId="015B245A" w14:textId="0C41C541" w:rsidR="000739A2" w:rsidRDefault="000739A2" w:rsidP="000739A2">
            <w:pPr>
              <w:pStyle w:val="Akapitzlist"/>
              <w:numPr>
                <w:ilvl w:val="0"/>
                <w:numId w:val="40"/>
              </w:numPr>
              <w:rPr>
                <w:rFonts w:ascii="Arial" w:eastAsia="Calibri" w:hAnsi="Arial" w:cs="Arial"/>
                <w:sz w:val="24"/>
                <w:szCs w:val="24"/>
              </w:rPr>
            </w:pPr>
            <w:r>
              <w:rPr>
                <w:rFonts w:ascii="Arial" w:eastAsia="Calibri" w:hAnsi="Arial" w:cs="Arial"/>
                <w:sz w:val="24"/>
                <w:szCs w:val="24"/>
              </w:rPr>
              <w:t>brak jest możliwości montażu instalacji zasilanej z OZE.</w:t>
            </w:r>
          </w:p>
          <w:p w14:paraId="7350820D" w14:textId="77777777" w:rsidR="000739A2" w:rsidRDefault="000739A2" w:rsidP="000739A2">
            <w:pPr>
              <w:pStyle w:val="Akapitzlist"/>
              <w:ind w:left="360"/>
              <w:rPr>
                <w:rFonts w:ascii="Arial" w:eastAsia="Calibri" w:hAnsi="Arial" w:cs="Arial"/>
                <w:sz w:val="24"/>
                <w:szCs w:val="24"/>
              </w:rPr>
            </w:pPr>
            <w:r w:rsidRPr="00462A56">
              <w:rPr>
                <w:rFonts w:ascii="Arial" w:eastAsia="Calibri" w:hAnsi="Arial" w:cs="Arial"/>
                <w:sz w:val="24"/>
                <w:szCs w:val="24"/>
              </w:rPr>
              <w:t>W przypadku, gdy projekt obejmuje termomodernizację kilku budynków ww. warunki muszą być spełnione przez każdy z nich oddzielnie.</w:t>
            </w:r>
          </w:p>
          <w:p w14:paraId="126DD59A" w14:textId="23A06CCF" w:rsidR="000739A2" w:rsidRPr="008315D0" w:rsidRDefault="000739A2" w:rsidP="000739A2">
            <w:pPr>
              <w:pStyle w:val="Akapitzlist"/>
              <w:ind w:left="360"/>
              <w:rPr>
                <w:rFonts w:ascii="Arial" w:eastAsia="Calibri" w:hAnsi="Arial" w:cs="Arial"/>
                <w:sz w:val="24"/>
                <w:szCs w:val="24"/>
              </w:rPr>
            </w:pPr>
            <w:r>
              <w:rPr>
                <w:rFonts w:ascii="Arial" w:eastAsia="Calibri" w:hAnsi="Arial" w:cs="Arial"/>
                <w:sz w:val="24"/>
                <w:szCs w:val="24"/>
              </w:rPr>
              <w:t xml:space="preserve">Wymiana źródła ciepła możliwa jako element uzupełniający termomodernizację obiektu. </w:t>
            </w:r>
          </w:p>
        </w:tc>
      </w:tr>
      <w:tr w:rsidR="000739A2" w:rsidRPr="001F5E68" w14:paraId="008BD0F5"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57CD66" w14:textId="77777777" w:rsidR="000739A2" w:rsidRDefault="000739A2" w:rsidP="000739A2">
            <w:pPr>
              <w:rPr>
                <w:rFonts w:ascii="Arial" w:eastAsia="Calibri" w:hAnsi="Arial" w:cs="Arial"/>
                <w:b/>
                <w:sz w:val="24"/>
                <w:szCs w:val="24"/>
              </w:rPr>
            </w:pPr>
            <w:r>
              <w:rPr>
                <w:rFonts w:ascii="Arial" w:eastAsia="Calibri" w:hAnsi="Arial" w:cs="Arial"/>
                <w:b/>
                <w:sz w:val="24"/>
                <w:szCs w:val="24"/>
              </w:rPr>
              <w:lastRenderedPageBreak/>
              <w:t>Pkt U Informacje specyficzne</w:t>
            </w:r>
          </w:p>
          <w:p w14:paraId="238351B6" w14:textId="77777777" w:rsidR="000739A2" w:rsidRDefault="000739A2" w:rsidP="000739A2">
            <w:pPr>
              <w:spacing w:after="0"/>
              <w:rPr>
                <w:rFonts w:ascii="Arial" w:eastAsia="Times New Roman" w:hAnsi="Arial" w:cs="Arial"/>
                <w:color w:val="000000"/>
                <w:sz w:val="24"/>
                <w:szCs w:val="24"/>
              </w:rPr>
            </w:pPr>
            <w:r>
              <w:rPr>
                <w:rFonts w:ascii="Arial" w:eastAsia="Times New Roman" w:hAnsi="Arial" w:cs="Arial"/>
                <w:color w:val="000000"/>
                <w:sz w:val="24"/>
                <w:szCs w:val="24"/>
              </w:rPr>
              <w:t>W celu potwierdzenia, spełnienia zasady deinstytucjonalizacji należy wskazać, że projekt:</w:t>
            </w:r>
          </w:p>
          <w:p w14:paraId="44822909" w14:textId="77777777" w:rsidR="000739A2" w:rsidRDefault="000739A2" w:rsidP="000739A2">
            <w:pPr>
              <w:pStyle w:val="Akapitzlist"/>
              <w:numPr>
                <w:ilvl w:val="0"/>
                <w:numId w:val="43"/>
              </w:numPr>
              <w:spacing w:after="0"/>
              <w:rPr>
                <w:rFonts w:ascii="Arial" w:eastAsia="Times New Roman" w:hAnsi="Arial" w:cs="Arial"/>
                <w:color w:val="000000"/>
                <w:sz w:val="24"/>
                <w:szCs w:val="24"/>
              </w:rPr>
            </w:pPr>
            <w:r w:rsidRPr="00233D70">
              <w:rPr>
                <w:rFonts w:ascii="Arial" w:eastAsia="Times New Roman" w:hAnsi="Arial" w:cs="Arial"/>
                <w:color w:val="000000"/>
                <w:sz w:val="24"/>
                <w:szCs w:val="24"/>
              </w:rPr>
              <w:t>nie przewiduje inwestycji w infrastrukturę ani doposażenie w sprzęt placówek świadczących instytucjonalną całod</w:t>
            </w:r>
            <w:r>
              <w:rPr>
                <w:rFonts w:ascii="Arial" w:eastAsia="Times New Roman" w:hAnsi="Arial" w:cs="Arial"/>
                <w:color w:val="000000"/>
                <w:sz w:val="24"/>
                <w:szCs w:val="24"/>
              </w:rPr>
              <w:t xml:space="preserve">obową opiekę długoterminową </w:t>
            </w:r>
          </w:p>
          <w:p w14:paraId="12FD0F2C" w14:textId="77777777" w:rsidR="000739A2" w:rsidRPr="00233D70" w:rsidRDefault="000739A2" w:rsidP="000739A2">
            <w:pPr>
              <w:pStyle w:val="Akapitzlist"/>
              <w:numPr>
                <w:ilvl w:val="0"/>
                <w:numId w:val="43"/>
              </w:numPr>
              <w:spacing w:after="0"/>
              <w:rPr>
                <w:rFonts w:ascii="Arial" w:eastAsia="Times New Roman" w:hAnsi="Arial" w:cs="Arial"/>
                <w:color w:val="000000"/>
                <w:sz w:val="24"/>
                <w:szCs w:val="24"/>
              </w:rPr>
            </w:pPr>
            <w:r w:rsidRPr="00233D70">
              <w:rPr>
                <w:rFonts w:ascii="Arial" w:eastAsia="Times New Roman" w:hAnsi="Arial" w:cs="Arial"/>
                <w:color w:val="000000"/>
                <w:sz w:val="24"/>
                <w:szCs w:val="24"/>
              </w:rPr>
              <w:t xml:space="preserve">dotyczy wsparcia infrastruktury służącej rozwojowi usług świadczonych w społeczności lokalnej </w:t>
            </w:r>
          </w:p>
          <w:p w14:paraId="1172AF4F" w14:textId="5D8A95DB" w:rsidR="000739A2" w:rsidRPr="00233D70" w:rsidRDefault="000739A2" w:rsidP="000739A2">
            <w:pPr>
              <w:spacing w:after="0"/>
              <w:rPr>
                <w:rFonts w:ascii="Arial" w:eastAsia="Times New Roman" w:hAnsi="Arial" w:cs="Arial"/>
                <w:color w:val="000000"/>
                <w:sz w:val="24"/>
                <w:szCs w:val="24"/>
              </w:rPr>
            </w:pPr>
            <w:r>
              <w:rPr>
                <w:rFonts w:ascii="Arial" w:eastAsia="Times New Roman" w:hAnsi="Arial" w:cs="Arial"/>
                <w:color w:val="000000"/>
                <w:sz w:val="24"/>
                <w:szCs w:val="24"/>
              </w:rPr>
              <w:t>U</w:t>
            </w:r>
            <w:r w:rsidRPr="00233D70">
              <w:rPr>
                <w:rFonts w:ascii="Arial" w:eastAsia="Times New Roman" w:hAnsi="Arial" w:cs="Arial"/>
                <w:color w:val="000000"/>
                <w:sz w:val="24"/>
                <w:szCs w:val="24"/>
              </w:rPr>
              <w:t>sługi świadczone w społeczności lokalnej będą spełniać łącznie wszystkie poniższe warunki:</w:t>
            </w:r>
          </w:p>
          <w:p w14:paraId="77BC1D06" w14:textId="77777777" w:rsidR="000739A2" w:rsidRPr="00142927" w:rsidRDefault="000739A2" w:rsidP="000739A2">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zindywidualizowany (dostosowany do potrzeb i możliwości danej osoby);</w:t>
            </w:r>
          </w:p>
          <w:p w14:paraId="06B25948" w14:textId="77777777" w:rsidR="000739A2" w:rsidRPr="00142927" w:rsidRDefault="000739A2" w:rsidP="000739A2">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umożliwiający odbiorcom tych usług kontrolę nad swoim życiem i nad decyzjami, które ich dotyczą;</w:t>
            </w:r>
          </w:p>
          <w:p w14:paraId="0317DA6E" w14:textId="77777777" w:rsidR="000739A2" w:rsidRPr="00142927" w:rsidRDefault="000739A2" w:rsidP="000739A2">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0F1700F1" w14:textId="32C6CDF5" w:rsidR="000739A2" w:rsidRPr="00142927" w:rsidRDefault="000739A2" w:rsidP="000739A2">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gwarantujący, że wymagania organizacyjne nie mają pierwszeństwa przed indywidualnymi potrzebami osoby z niej korzystającej.</w:t>
            </w:r>
          </w:p>
        </w:tc>
      </w:tr>
      <w:tr w:rsidR="000739A2" w:rsidRPr="001F5E68" w14:paraId="4051A85D"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C597B14" w14:textId="77777777" w:rsidR="000739A2" w:rsidRDefault="000739A2" w:rsidP="000739A2">
            <w:pPr>
              <w:rPr>
                <w:rFonts w:ascii="Arial" w:eastAsia="Calibri" w:hAnsi="Arial" w:cs="Arial"/>
                <w:b/>
                <w:sz w:val="24"/>
                <w:szCs w:val="24"/>
              </w:rPr>
            </w:pPr>
            <w:r w:rsidRPr="00F924AA">
              <w:rPr>
                <w:rFonts w:ascii="Arial" w:eastAsia="Calibri" w:hAnsi="Arial" w:cs="Arial"/>
                <w:b/>
                <w:sz w:val="24"/>
                <w:szCs w:val="24"/>
              </w:rPr>
              <w:t>Pkt U Informacje specyficzne</w:t>
            </w:r>
          </w:p>
          <w:p w14:paraId="46E19FB7" w14:textId="482F2F58" w:rsidR="000739A2" w:rsidRPr="004A079E" w:rsidRDefault="000739A2" w:rsidP="000739A2">
            <w:pPr>
              <w:rPr>
                <w:rFonts w:ascii="Arial" w:eastAsia="Calibri" w:hAnsi="Arial" w:cs="Arial"/>
                <w:b/>
                <w:sz w:val="24"/>
                <w:szCs w:val="24"/>
              </w:rPr>
            </w:pPr>
            <w:r w:rsidRPr="004A079E">
              <w:rPr>
                <w:rFonts w:ascii="Arial" w:eastAsia="Calibri" w:hAnsi="Arial" w:cs="Arial"/>
                <w:sz w:val="24"/>
                <w:szCs w:val="24"/>
              </w:rPr>
              <w:lastRenderedPageBreak/>
              <w:t>Należy wskazać czy rozwiązania przewidywane w projekcie uwzględniają zasady inicjatywy</w:t>
            </w:r>
            <w:r w:rsidRPr="004A079E">
              <w:rPr>
                <w:rFonts w:ascii="Arial" w:eastAsia="Calibri" w:hAnsi="Arial" w:cs="Arial"/>
                <w:b/>
                <w:sz w:val="24"/>
                <w:szCs w:val="24"/>
              </w:rPr>
              <w:t xml:space="preserve"> Nowy Europejski Bauhaus </w:t>
            </w:r>
            <w:r w:rsidRPr="004A079E">
              <w:rPr>
                <w:rFonts w:ascii="Arial" w:eastAsia="Calibri" w:hAnsi="Arial" w:cs="Arial"/>
                <w:sz w:val="24"/>
                <w:szCs w:val="24"/>
              </w:rPr>
              <w:t>(z ang. New European Bauhaus, NEB):</w:t>
            </w:r>
          </w:p>
          <w:p w14:paraId="58B907BF" w14:textId="6E89F879" w:rsidR="000739A2" w:rsidRPr="004A079E" w:rsidRDefault="000739A2" w:rsidP="000739A2">
            <w:pPr>
              <w:pStyle w:val="Akapitzlist"/>
              <w:numPr>
                <w:ilvl w:val="0"/>
                <w:numId w:val="42"/>
              </w:numPr>
              <w:rPr>
                <w:rFonts w:ascii="Arial" w:eastAsia="Calibri" w:hAnsi="Arial" w:cs="Arial"/>
                <w:b/>
                <w:sz w:val="24"/>
                <w:szCs w:val="24"/>
              </w:rPr>
            </w:pPr>
            <w:r w:rsidRPr="004A079E">
              <w:rPr>
                <w:rFonts w:ascii="Arial" w:eastAsia="Calibri" w:hAnsi="Arial" w:cs="Arial"/>
                <w:b/>
                <w:sz w:val="24"/>
                <w:szCs w:val="24"/>
              </w:rPr>
              <w:t>zrównoważenie środowiskowe/balans środowiskowy,</w:t>
            </w:r>
            <w:r w:rsidRPr="004A079E">
              <w:rPr>
                <w:rFonts w:ascii="Arial" w:eastAsia="Calibri" w:hAnsi="Arial" w:cs="Arial"/>
                <w:sz w:val="24"/>
                <w:szCs w:val="24"/>
              </w:rPr>
              <w:t xml:space="preserve"> w tym m.in. wkomponowanie elementów przyrody w tkankę miejską, zbilansowanie stref zabudowy miejskiej, dbałość o różnorodność biologiczną</w:t>
            </w:r>
            <w:r w:rsidRPr="004A079E">
              <w:rPr>
                <w:rFonts w:ascii="Arial" w:eastAsia="Calibri" w:hAnsi="Arial" w:cs="Arial"/>
                <w:b/>
                <w:sz w:val="24"/>
                <w:szCs w:val="24"/>
              </w:rPr>
              <w:t xml:space="preserve">, </w:t>
            </w:r>
          </w:p>
          <w:p w14:paraId="4D6B032D" w14:textId="3739345C" w:rsidR="000739A2" w:rsidRPr="004A079E" w:rsidRDefault="000739A2" w:rsidP="000739A2">
            <w:pPr>
              <w:pStyle w:val="Akapitzlist"/>
              <w:numPr>
                <w:ilvl w:val="0"/>
                <w:numId w:val="42"/>
              </w:numPr>
              <w:rPr>
                <w:rFonts w:ascii="Arial" w:eastAsia="Calibri" w:hAnsi="Arial" w:cs="Arial"/>
                <w:b/>
                <w:sz w:val="24"/>
                <w:szCs w:val="24"/>
              </w:rPr>
            </w:pPr>
            <w:r w:rsidRPr="004A079E">
              <w:rPr>
                <w:rFonts w:ascii="Arial" w:eastAsia="Calibri" w:hAnsi="Arial" w:cs="Arial"/>
                <w:b/>
                <w:sz w:val="24"/>
                <w:szCs w:val="24"/>
              </w:rPr>
              <w:t xml:space="preserve">estetyka - </w:t>
            </w:r>
            <w:r w:rsidRPr="004A079E">
              <w:rPr>
                <w:rFonts w:ascii="Arial" w:eastAsia="Calibri" w:hAnsi="Arial" w:cs="Arial"/>
                <w:sz w:val="24"/>
                <w:szCs w:val="24"/>
              </w:rPr>
              <w:t>uwzględnianie - poza funkcjonalnością - również elementów kompozycji architektonicznej uwzględniającej harmonię, dbałość o jakość i styl przestrzeni - rozwiązania oparte o aspekty przyrodnicze</w:t>
            </w:r>
            <w:r w:rsidRPr="004A079E">
              <w:rPr>
                <w:rFonts w:ascii="Arial" w:eastAsia="Calibri" w:hAnsi="Arial" w:cs="Arial"/>
                <w:b/>
                <w:sz w:val="24"/>
                <w:szCs w:val="24"/>
              </w:rPr>
              <w:t xml:space="preserve">, </w:t>
            </w:r>
          </w:p>
          <w:p w14:paraId="624D08A6" w14:textId="02F3C23F" w:rsidR="000739A2" w:rsidRPr="004A079E" w:rsidRDefault="000739A2" w:rsidP="000739A2">
            <w:pPr>
              <w:pStyle w:val="Akapitzlist"/>
              <w:numPr>
                <w:ilvl w:val="0"/>
                <w:numId w:val="42"/>
              </w:numPr>
              <w:rPr>
                <w:rFonts w:ascii="Arial" w:eastAsia="Calibri" w:hAnsi="Arial" w:cs="Arial"/>
                <w:b/>
                <w:sz w:val="24"/>
                <w:szCs w:val="24"/>
              </w:rPr>
            </w:pPr>
            <w:r w:rsidRPr="004A079E">
              <w:rPr>
                <w:rFonts w:ascii="Arial" w:eastAsia="Calibri" w:hAnsi="Arial" w:cs="Arial"/>
                <w:b/>
                <w:sz w:val="24"/>
                <w:szCs w:val="24"/>
              </w:rPr>
              <w:t xml:space="preserve">włączenie społeczne - </w:t>
            </w:r>
            <w:r w:rsidRPr="004A079E">
              <w:rPr>
                <w:rFonts w:ascii="Arial" w:eastAsia="Calibri" w:hAnsi="Arial" w:cs="Arial"/>
                <w:sz w:val="24"/>
                <w:szCs w:val="24"/>
              </w:rPr>
              <w:t>tworzenie przestrzeni publicznej zachowującej funkcje przyrodnicze z uwzględnieniem aspektu równości i dostępności</w:t>
            </w:r>
            <w:r w:rsidRPr="004A079E">
              <w:rPr>
                <w:rFonts w:ascii="Arial" w:eastAsia="Calibri" w:hAnsi="Arial" w:cs="Arial"/>
                <w:b/>
                <w:sz w:val="24"/>
                <w:szCs w:val="24"/>
              </w:rPr>
              <w:t>.</w:t>
            </w:r>
          </w:p>
        </w:tc>
      </w:tr>
      <w:tr w:rsidR="000739A2" w:rsidRPr="00B35702" w14:paraId="1ED4B58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2C58F04" w14:textId="77777777" w:rsidR="000739A2" w:rsidRDefault="000739A2" w:rsidP="000739A2">
            <w:pPr>
              <w:suppressAutoHyphens/>
              <w:spacing w:after="120" w:line="276" w:lineRule="auto"/>
              <w:rPr>
                <w:rFonts w:ascii="Arial" w:eastAsia="Times New Roman" w:hAnsi="Arial" w:cs="Arial"/>
                <w:b/>
                <w:iCs/>
                <w:sz w:val="24"/>
                <w:szCs w:val="24"/>
                <w:lang w:eastAsia="ar-SA"/>
              </w:rPr>
            </w:pPr>
            <w:r w:rsidRPr="00282B96">
              <w:rPr>
                <w:rFonts w:ascii="Arial" w:eastAsia="Times New Roman" w:hAnsi="Arial" w:cs="Arial"/>
                <w:b/>
                <w:iCs/>
                <w:sz w:val="24"/>
                <w:szCs w:val="24"/>
                <w:lang w:eastAsia="ar-SA"/>
              </w:rPr>
              <w:lastRenderedPageBreak/>
              <w:t>Pkt U Informacje specyficzne</w:t>
            </w:r>
          </w:p>
          <w:p w14:paraId="37EF1BB4" w14:textId="77777777" w:rsidR="000739A2" w:rsidRPr="00282B96" w:rsidRDefault="000739A2" w:rsidP="000739A2">
            <w:pPr>
              <w:suppressAutoHyphens/>
              <w:spacing w:after="120" w:line="276" w:lineRule="auto"/>
              <w:rPr>
                <w:rFonts w:ascii="Arial" w:eastAsia="Times New Roman" w:hAnsi="Arial" w:cs="Arial"/>
                <w:iCs/>
                <w:sz w:val="24"/>
                <w:szCs w:val="24"/>
                <w:lang w:eastAsia="ar-SA"/>
              </w:rPr>
            </w:pPr>
            <w:r w:rsidRPr="00282B96">
              <w:rPr>
                <w:rFonts w:ascii="Arial" w:eastAsia="Times New Roman" w:hAnsi="Arial" w:cs="Arial"/>
                <w:iCs/>
                <w:sz w:val="24"/>
                <w:szCs w:val="24"/>
                <w:lang w:eastAsia="ar-SA"/>
              </w:rPr>
              <w:t>Należy wskazać czy projekt będzie realizowany na terenie gminy górniczej.</w:t>
            </w:r>
          </w:p>
          <w:p w14:paraId="025F588C" w14:textId="2DFE9C87" w:rsidR="000739A2" w:rsidRPr="00FE0116" w:rsidRDefault="000739A2" w:rsidP="000739A2">
            <w:pPr>
              <w:suppressAutoHyphens/>
              <w:spacing w:after="120" w:line="276" w:lineRule="auto"/>
              <w:rPr>
                <w:rFonts w:ascii="Arial" w:eastAsia="Times New Roman" w:hAnsi="Arial" w:cs="Arial"/>
                <w:b/>
                <w:iCs/>
                <w:sz w:val="24"/>
                <w:szCs w:val="24"/>
                <w:lang w:eastAsia="ar-SA"/>
              </w:rPr>
            </w:pPr>
            <w:r w:rsidRPr="00282B96">
              <w:rPr>
                <w:rFonts w:ascii="Arial" w:eastAsia="Times New Roman" w:hAnsi="Arial" w:cs="Arial"/>
                <w:iCs/>
                <w:sz w:val="24"/>
                <w:szCs w:val="24"/>
                <w:lang w:eastAsia="ar-SA"/>
              </w:rPr>
              <w:t>Lista gmin górniczych z terenu Małopolski Z</w:t>
            </w:r>
            <w:r>
              <w:rPr>
                <w:rFonts w:ascii="Arial" w:eastAsia="Times New Roman" w:hAnsi="Arial" w:cs="Arial"/>
                <w:iCs/>
                <w:sz w:val="24"/>
                <w:szCs w:val="24"/>
                <w:lang w:eastAsia="ar-SA"/>
              </w:rPr>
              <w:t>achodniej zostanie wskazana w R</w:t>
            </w:r>
            <w:r w:rsidRPr="00282B96">
              <w:rPr>
                <w:rFonts w:ascii="Arial" w:eastAsia="Times New Roman" w:hAnsi="Arial" w:cs="Arial"/>
                <w:iCs/>
                <w:sz w:val="24"/>
                <w:szCs w:val="24"/>
                <w:lang w:eastAsia="ar-SA"/>
              </w:rPr>
              <w:t>egulaminie wyboru projektów.</w:t>
            </w:r>
            <w:r>
              <w:rPr>
                <w:rFonts w:ascii="Arial" w:eastAsia="Times New Roman" w:hAnsi="Arial" w:cs="Arial"/>
                <w:b/>
                <w:iCs/>
                <w:sz w:val="24"/>
                <w:szCs w:val="24"/>
                <w:lang w:eastAsia="ar-SA"/>
              </w:rPr>
              <w:t xml:space="preserve"> </w:t>
            </w:r>
          </w:p>
        </w:tc>
      </w:tr>
      <w:tr w:rsidR="000739A2"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15457E" w14:textId="77777777" w:rsidR="000739A2" w:rsidRDefault="000739A2" w:rsidP="000739A2">
            <w:pPr>
              <w:suppressAutoHyphens/>
              <w:spacing w:after="120" w:line="276" w:lineRule="auto"/>
              <w:rPr>
                <w:rFonts w:ascii="Arial" w:eastAsia="Times New Roman" w:hAnsi="Arial" w:cs="Arial"/>
                <w:b/>
                <w:iCs/>
                <w:sz w:val="24"/>
                <w:szCs w:val="24"/>
                <w:lang w:eastAsia="ar-SA"/>
              </w:rPr>
            </w:pPr>
            <w:r w:rsidRPr="00FE0116">
              <w:rPr>
                <w:rFonts w:ascii="Arial" w:eastAsia="Times New Roman" w:hAnsi="Arial" w:cs="Arial"/>
                <w:b/>
                <w:iCs/>
                <w:sz w:val="24"/>
                <w:szCs w:val="24"/>
                <w:lang w:eastAsia="ar-SA"/>
              </w:rPr>
              <w:t>Pkt U Informacje specyficzne</w:t>
            </w:r>
          </w:p>
          <w:p w14:paraId="57C4B6D1" w14:textId="1C837CA0" w:rsidR="000739A2" w:rsidRPr="00282B96" w:rsidRDefault="000739A2" w:rsidP="000739A2">
            <w:pPr>
              <w:suppressAutoHyphens/>
              <w:spacing w:after="120" w:line="276" w:lineRule="auto"/>
              <w:rPr>
                <w:rFonts w:ascii="Arial" w:eastAsia="Times New Roman" w:hAnsi="Arial" w:cs="Arial"/>
                <w:iCs/>
                <w:sz w:val="24"/>
                <w:szCs w:val="24"/>
                <w:lang w:eastAsia="ar-SA"/>
              </w:rPr>
            </w:pPr>
            <w:r w:rsidRPr="00282B96">
              <w:rPr>
                <w:rFonts w:ascii="Arial" w:eastAsia="Times New Roman" w:hAnsi="Arial" w:cs="Arial"/>
                <w:iCs/>
                <w:sz w:val="24"/>
                <w:szCs w:val="24"/>
                <w:lang w:eastAsia="ar-SA"/>
              </w:rPr>
              <w:t xml:space="preserve">Należ wskazać czy projekt ma charakter międzyregionalny lub transnarodowy tj. polega na sieciowaniu, wymianie doświadczeń, know-how, zapoznaniu się z przykładami dobrych praktyk w zakresie poprawy efektywności energetycznej budynków. </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460F35C5" w14:textId="77777777" w:rsidR="000515AE" w:rsidRPr="003C4676" w:rsidRDefault="003D5A4C" w:rsidP="007838E2">
      <w:pPr>
        <w:pStyle w:val="Nagwek2"/>
        <w:numPr>
          <w:ilvl w:val="0"/>
          <w:numId w:val="1"/>
        </w:numPr>
        <w:spacing w:line="240" w:lineRule="auto"/>
        <w:rPr>
          <w:rFonts w:ascii="Arial" w:hAnsi="Arial" w:cs="Arial"/>
          <w:b/>
          <w:color w:val="auto"/>
          <w:sz w:val="24"/>
          <w:szCs w:val="24"/>
        </w:rPr>
      </w:pPr>
      <w:r w:rsidRPr="003C4676">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0DF49874" w:rsidR="00923DE8" w:rsidRPr="00E14549" w:rsidRDefault="005D2A42"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 nr 1 oraz nr 2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55CB38F0" w:rsidR="00F97B71" w:rsidRPr="00E14549" w:rsidRDefault="00F97B71" w:rsidP="005D2A42">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5D2A42">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2DCD0D1C" w:rsidR="00375416" w:rsidRPr="00E14549" w:rsidRDefault="00375416"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5DE858C9" w:rsidR="00923DE8" w:rsidRPr="00E14549" w:rsidRDefault="00923DE8" w:rsidP="007A11DD">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4831967C" w:rsidR="00481FC9" w:rsidRPr="00E14549" w:rsidRDefault="00481FC9" w:rsidP="007A11DD">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 xml:space="preserve">przed podpisaniem Umowy/ Uchwały/ 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089B1BDD" w:rsidR="00923DE8" w:rsidRPr="00E14549" w:rsidRDefault="00923DE8" w:rsidP="007A11DD">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79F6F2AE"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5D2A42" w:rsidRPr="005D2A42">
              <w:rPr>
                <w:rFonts w:ascii="Arial" w:hAnsi="Arial" w:cs="Arial"/>
                <w:b/>
                <w:bCs/>
                <w:color w:val="000000" w:themeColor="text1"/>
                <w:sz w:val="24"/>
                <w:szCs w:val="24"/>
              </w:rPr>
              <w:t>oraz organu odpowiedzialnego za gospodarkę wodną</w:t>
            </w:r>
            <w:r w:rsidR="005D2A42" w:rsidRPr="005D2A42">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13FDE83F" w:rsidR="00923DE8" w:rsidRPr="00E14549" w:rsidRDefault="005D2A42" w:rsidP="006C74F1">
            <w:pPr>
              <w:pStyle w:val="Akapitzlist"/>
              <w:ind w:left="0"/>
              <w:rPr>
                <w:rFonts w:ascii="Arial" w:hAnsi="Arial" w:cs="Arial"/>
                <w:color w:val="000000" w:themeColor="text1"/>
                <w:sz w:val="24"/>
                <w:szCs w:val="24"/>
              </w:rPr>
            </w:pPr>
            <w:r w:rsidRPr="005D2A42">
              <w:rPr>
                <w:rFonts w:ascii="Arial" w:hAnsi="Arial" w:cs="Arial"/>
                <w:color w:val="000000" w:themeColor="text1"/>
                <w:sz w:val="24"/>
                <w:szCs w:val="24"/>
              </w:rPr>
              <w:t>Dokumenty wydawane są odpowiednio przez Regionalną Dyrekcję Ochrony Środowiska oraz Państwowe Gospodarstwo Wodne Wody Polskie</w:t>
            </w:r>
            <w:r w:rsidR="00923DE8"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47425EC1" w:rsidR="00923DE8" w:rsidRPr="00E14549" w:rsidRDefault="00923DE8" w:rsidP="007A11DD">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Dokumentacja zawierająca specyfikację techniczną planowanych do zakupu środków trwałych – w przypadku </w:t>
            </w:r>
            <w:r w:rsidRPr="00E14549">
              <w:rPr>
                <w:rFonts w:ascii="Arial" w:hAnsi="Arial" w:cs="Arial"/>
                <w:color w:val="000000" w:themeColor="text1"/>
                <w:sz w:val="24"/>
                <w:szCs w:val="24"/>
              </w:rPr>
              <w:lastRenderedPageBreak/>
              <w:t>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xml:space="preserve">/ zgłoszenia dla których właściwy </w:t>
            </w:r>
            <w:r w:rsidRPr="00E14549">
              <w:rPr>
                <w:rFonts w:ascii="Arial" w:hAnsi="Arial" w:cs="Arial"/>
                <w:color w:val="000000" w:themeColor="text1"/>
                <w:sz w:val="24"/>
                <w:szCs w:val="24"/>
              </w:rPr>
              <w:lastRenderedPageBreak/>
              <w:t>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 xml:space="preserve">posiadające rygor </w:t>
            </w:r>
            <w:r w:rsidRPr="00E14549">
              <w:rPr>
                <w:rFonts w:ascii="Arial" w:hAnsi="Arial" w:cs="Arial"/>
                <w:iCs/>
                <w:color w:val="000000" w:themeColor="text1"/>
                <w:sz w:val="24"/>
                <w:szCs w:val="24"/>
              </w:rPr>
              <w:lastRenderedPageBreak/>
              <w:t>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18BFE289"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2" w:history="1">
              <w:r w:rsidR="005D2A42" w:rsidRPr="00054414">
                <w:rPr>
                  <w:rStyle w:val="Hipercze"/>
                  <w:rFonts w:ascii="Arial" w:hAnsi="Arial" w:cs="Arial"/>
                  <w:sz w:val="24"/>
                  <w:szCs w:val="24"/>
                </w:rPr>
                <w:t>https://uokik.gov.pl/nowe-zasady-pomocy-de-minimis</w:t>
              </w:r>
            </w:hyperlink>
            <w:r w:rsidRPr="00E14549">
              <w:rPr>
                <w:rFonts w:ascii="Arial" w:hAnsi="Arial" w:cs="Arial"/>
                <w:color w:val="000000" w:themeColor="text1"/>
                <w:sz w:val="24"/>
                <w:szCs w:val="24"/>
                <w:lang w:bidi="pl-PL"/>
              </w:rPr>
              <w:t xml:space="preserve"> </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E14549">
              <w:rPr>
                <w:rFonts w:ascii="Arial" w:hAnsi="Arial" w:cs="Arial"/>
                <w:color w:val="000000" w:themeColor="text1"/>
                <w:sz w:val="24"/>
                <w:szCs w:val="24"/>
                <w:lang w:bidi="pl-PL"/>
              </w:rPr>
              <w:lastRenderedPageBreak/>
              <w:t>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5CB22A9A"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523703">
              <w:rPr>
                <w:rFonts w:ascii="Arial" w:hAnsi="Arial" w:cs="Arial"/>
                <w:color w:val="000000" w:themeColor="text1"/>
                <w:sz w:val="24"/>
                <w:szCs w:val="24"/>
              </w:rPr>
              <w:t>4</w:t>
            </w:r>
            <w:r w:rsidR="00523703"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7511B5E5" w:rsidR="00923DE8" w:rsidRPr="00E14549" w:rsidRDefault="00923DE8" w:rsidP="007A11DD">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Porozumienia – do </w:t>
            </w:r>
            <w:r w:rsidR="007A11DD">
              <w:rPr>
                <w:rFonts w:ascii="Arial" w:hAnsi="Arial" w:cs="Arial"/>
                <w:color w:val="000000" w:themeColor="text1"/>
                <w:sz w:val="24"/>
                <w:szCs w:val="24"/>
              </w:rPr>
              <w:t>30</w:t>
            </w:r>
            <w:r w:rsidR="007A11DD"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530FD4F0" w14:textId="77777777" w:rsidR="0094107D" w:rsidRPr="003C4676" w:rsidRDefault="0094107D" w:rsidP="0094107D">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2168CD03" w14:textId="77777777" w:rsidR="0094107D" w:rsidRPr="003C4676" w:rsidRDefault="0094107D" w:rsidP="0094107D">
            <w:pPr>
              <w:pStyle w:val="Default"/>
              <w:rPr>
                <w:rFonts w:ascii="Arial" w:hAnsi="Arial" w:cs="Arial"/>
              </w:rPr>
            </w:pPr>
            <w:r w:rsidRPr="003C4676">
              <w:rPr>
                <w:rFonts w:ascii="Arial" w:hAnsi="Arial" w:cs="Arial"/>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15E08E62" w14:textId="77777777" w:rsidR="00422DA4" w:rsidRDefault="00422DA4" w:rsidP="0094107D">
            <w:pPr>
              <w:pStyle w:val="Default"/>
              <w:rPr>
                <w:rFonts w:ascii="Arial" w:hAnsi="Arial" w:cs="Arial"/>
              </w:rPr>
            </w:pPr>
          </w:p>
          <w:p w14:paraId="4C8DAD0D" w14:textId="4A360813" w:rsidR="0094107D" w:rsidRPr="003C4676" w:rsidRDefault="0094107D" w:rsidP="0094107D">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234B811" w14:textId="77777777" w:rsidR="0094107D" w:rsidRPr="003C4676" w:rsidRDefault="0094107D" w:rsidP="0094107D">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1705CACC" w14:textId="77777777" w:rsidR="00422DA4" w:rsidRDefault="0094107D" w:rsidP="003C4676">
            <w:pPr>
              <w:pStyle w:val="Default"/>
              <w:numPr>
                <w:ilvl w:val="0"/>
                <w:numId w:val="4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31279B2F" w14:textId="77777777" w:rsidR="00422DA4" w:rsidRDefault="0094107D" w:rsidP="003C4676">
            <w:pPr>
              <w:pStyle w:val="Default"/>
              <w:numPr>
                <w:ilvl w:val="0"/>
                <w:numId w:val="4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6E13972" w14:textId="39EF6CA4" w:rsidR="0094107D" w:rsidRPr="003C4676" w:rsidRDefault="0094107D" w:rsidP="003C4676">
            <w:pPr>
              <w:pStyle w:val="Default"/>
              <w:numPr>
                <w:ilvl w:val="0"/>
                <w:numId w:val="46"/>
              </w:numPr>
              <w:rPr>
                <w:rFonts w:ascii="Arial" w:hAnsi="Arial" w:cs="Arial"/>
              </w:rPr>
            </w:pPr>
            <w:r w:rsidRPr="003C4676">
              <w:rPr>
                <w:rFonts w:ascii="Arial" w:hAnsi="Arial" w:cs="Arial"/>
              </w:rPr>
              <w:t xml:space="preserve">inne ewidencje obrazujące wyniki finansowe z 3 ostatnich lat kalendarzowych. </w:t>
            </w:r>
          </w:p>
          <w:p w14:paraId="59657F2A" w14:textId="77777777" w:rsidR="0094107D" w:rsidRPr="003C4676" w:rsidRDefault="0094107D" w:rsidP="0094107D">
            <w:pPr>
              <w:pStyle w:val="Default"/>
              <w:rPr>
                <w:rFonts w:ascii="Arial" w:hAnsi="Arial" w:cs="Arial"/>
              </w:rPr>
            </w:pPr>
          </w:p>
          <w:p w14:paraId="00EFFB89" w14:textId="2C1EEC25" w:rsidR="0094107D" w:rsidRPr="003C4676" w:rsidRDefault="0094107D" w:rsidP="003C4676">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119161A2" w14:textId="165BB23D" w:rsidR="0094107D" w:rsidRDefault="0094107D" w:rsidP="0094107D">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w:t>
            </w:r>
            <w:r w:rsidRPr="003C4676">
              <w:rPr>
                <w:rFonts w:ascii="Arial" w:hAnsi="Arial" w:cs="Arial"/>
                <w:b/>
                <w:bCs/>
              </w:rPr>
              <w:lastRenderedPageBreak/>
              <w:t xml:space="preserve">łącznego bilansu, rachunku zysku i strat i informacji dodatkowej. </w:t>
            </w:r>
          </w:p>
          <w:p w14:paraId="56D17EF0" w14:textId="77777777" w:rsidR="00422DA4" w:rsidRPr="003C4676" w:rsidRDefault="00422DA4" w:rsidP="0094107D">
            <w:pPr>
              <w:pStyle w:val="Default"/>
              <w:rPr>
                <w:rFonts w:ascii="Arial" w:hAnsi="Arial" w:cs="Arial"/>
              </w:rPr>
            </w:pPr>
          </w:p>
          <w:p w14:paraId="115B336F" w14:textId="37C4C078" w:rsidR="0094107D" w:rsidRDefault="0094107D" w:rsidP="0094107D">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12189403" w14:textId="77777777" w:rsidR="00422DA4" w:rsidRPr="003C4676" w:rsidRDefault="00422DA4" w:rsidP="0094107D">
            <w:pPr>
              <w:pStyle w:val="Default"/>
              <w:rPr>
                <w:rFonts w:ascii="Arial" w:hAnsi="Arial" w:cs="Arial"/>
              </w:rPr>
            </w:pPr>
          </w:p>
          <w:p w14:paraId="3FAF8BCB" w14:textId="1D289F05" w:rsidR="00481FC9" w:rsidRPr="00E14549" w:rsidRDefault="0094107D" w:rsidP="00286CAB">
            <w:pPr>
              <w:pStyle w:val="Default"/>
              <w:rPr>
                <w:rFonts w:ascii="Arial" w:hAnsi="Arial" w:cs="Arial"/>
                <w:color w:val="000000" w:themeColor="text1"/>
              </w:rPr>
            </w:pPr>
            <w:r w:rsidRPr="003C4676">
              <w:rPr>
                <w:rFonts w:ascii="Arial" w:hAnsi="Arial" w:cs="Arial"/>
              </w:rPr>
              <w:t>Szczegółowe informacje w zakresie rodzaju dokumentów niezbędnych do weryfikacji m. in trwałości finansowej projektu lub wykluczenia występowania trudnej sytuacji zawiera Rozdział 13.6 Wademekum wiedzy o wniosku</w:t>
            </w:r>
            <w:r w:rsidRPr="0094107D">
              <w:rPr>
                <w:rFonts w:ascii="Arial" w:hAnsi="Arial" w:cs="Arial"/>
              </w:rPr>
              <w:t>.</w:t>
            </w:r>
            <w:r>
              <w:rPr>
                <w:sz w:val="23"/>
                <w:szCs w:val="23"/>
              </w:rPr>
              <w:t xml:space="preserve"> </w:t>
            </w:r>
          </w:p>
        </w:tc>
        <w:tc>
          <w:tcPr>
            <w:tcW w:w="5812" w:type="dxa"/>
          </w:tcPr>
          <w:p w14:paraId="767392D9" w14:textId="7851CE31" w:rsidR="00481FC9" w:rsidRPr="005D2A42" w:rsidRDefault="00481FC9" w:rsidP="005D2A42">
            <w:pPr>
              <w:pStyle w:val="Akapitzlist"/>
              <w:numPr>
                <w:ilvl w:val="0"/>
                <w:numId w:val="8"/>
              </w:numPr>
              <w:rPr>
                <w:rFonts w:ascii="Arial" w:hAnsi="Arial" w:cs="Arial"/>
                <w:sz w:val="24"/>
                <w:szCs w:val="24"/>
              </w:rPr>
            </w:pPr>
            <w:r w:rsidRPr="00E14549">
              <w:rPr>
                <w:rFonts w:ascii="Arial" w:hAnsi="Arial" w:cs="Arial"/>
                <w:color w:val="000000" w:themeColor="text1"/>
                <w:sz w:val="24"/>
                <w:szCs w:val="24"/>
              </w:rPr>
              <w:lastRenderedPageBreak/>
              <w:t>Wraz z wnioskiem o dofinansowanie projektu</w:t>
            </w:r>
            <w:r w:rsidR="005D2A42">
              <w:rPr>
                <w:rFonts w:ascii="Arial" w:hAnsi="Arial" w:cs="Arial"/>
                <w:color w:val="000000" w:themeColor="text1"/>
                <w:sz w:val="24"/>
                <w:szCs w:val="24"/>
              </w:rPr>
              <w:t xml:space="preserve"> </w:t>
            </w:r>
            <w:r w:rsidR="005D2A42" w:rsidRPr="005D2A42">
              <w:rPr>
                <w:rFonts w:ascii="Arial" w:hAnsi="Arial" w:cs="Arial"/>
                <w:sz w:val="24"/>
                <w:szCs w:val="24"/>
              </w:rPr>
              <w:t>(najpóźniej na etap oceny finansowej)</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F668A0" w14:paraId="4B489053" w14:textId="77777777" w:rsidTr="00F97B71">
        <w:tc>
          <w:tcPr>
            <w:tcW w:w="643" w:type="dxa"/>
          </w:tcPr>
          <w:p w14:paraId="5F468D2E" w14:textId="77777777" w:rsidR="00F668A0" w:rsidRPr="00E4505B" w:rsidRDefault="00F668A0" w:rsidP="007838E2">
            <w:pPr>
              <w:pStyle w:val="Akapitzlist"/>
              <w:numPr>
                <w:ilvl w:val="0"/>
                <w:numId w:val="21"/>
              </w:numPr>
              <w:rPr>
                <w:rFonts w:ascii="Arial" w:hAnsi="Arial" w:cs="Arial"/>
                <w:sz w:val="24"/>
                <w:szCs w:val="24"/>
              </w:rPr>
            </w:pPr>
          </w:p>
        </w:tc>
        <w:tc>
          <w:tcPr>
            <w:tcW w:w="7437" w:type="dxa"/>
          </w:tcPr>
          <w:p w14:paraId="30A308DC" w14:textId="66A15291" w:rsidR="00F668A0" w:rsidRPr="00E14549" w:rsidRDefault="00F668A0" w:rsidP="006C74F1">
            <w:pPr>
              <w:pStyle w:val="Akapitzlist"/>
              <w:ind w:left="0"/>
              <w:rPr>
                <w:rFonts w:ascii="Arial" w:hAnsi="Arial" w:cs="Arial"/>
                <w:b/>
                <w:color w:val="000000" w:themeColor="text1"/>
                <w:sz w:val="24"/>
                <w:szCs w:val="24"/>
              </w:rPr>
            </w:pPr>
            <w:r w:rsidRPr="00F668A0">
              <w:rPr>
                <w:rFonts w:ascii="Arial" w:hAnsi="Arial" w:cs="Arial"/>
                <w:b/>
                <w:color w:val="000000" w:themeColor="text1"/>
                <w:sz w:val="24"/>
                <w:szCs w:val="24"/>
              </w:rPr>
              <w:t>Audyt energetyczny.</w:t>
            </w:r>
          </w:p>
        </w:tc>
        <w:tc>
          <w:tcPr>
            <w:tcW w:w="5812" w:type="dxa"/>
          </w:tcPr>
          <w:p w14:paraId="7997B004" w14:textId="2EA3EF38" w:rsidR="00F668A0" w:rsidRPr="00E14549" w:rsidRDefault="00F668A0" w:rsidP="00F668A0">
            <w:pPr>
              <w:pStyle w:val="Akapitzlist"/>
              <w:numPr>
                <w:ilvl w:val="0"/>
                <w:numId w:val="8"/>
              </w:numPr>
              <w:rPr>
                <w:rFonts w:ascii="Arial" w:hAnsi="Arial" w:cs="Arial"/>
                <w:color w:val="000000" w:themeColor="text1"/>
                <w:sz w:val="24"/>
                <w:szCs w:val="24"/>
              </w:rPr>
            </w:pPr>
            <w:r w:rsidRPr="00F668A0">
              <w:rPr>
                <w:rFonts w:ascii="Arial" w:hAnsi="Arial" w:cs="Arial"/>
                <w:color w:val="000000" w:themeColor="text1"/>
                <w:sz w:val="24"/>
                <w:szCs w:val="24"/>
              </w:rPr>
              <w:t xml:space="preserve">Wraz z wnioskiem o dofinansowanie projektu  </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1F2C2FA4"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w:t>
      </w:r>
      <w:r w:rsidR="003C4676">
        <w:rPr>
          <w:rFonts w:ascii="Arial" w:hAnsi="Arial" w:cs="Arial"/>
          <w:sz w:val="24"/>
          <w:szCs w:val="24"/>
        </w:rPr>
        <w:t xml:space="preserve">we wniosku o dofinansowanie projektu </w:t>
      </w:r>
      <w:r w:rsidRPr="003858DB">
        <w:rPr>
          <w:rFonts w:ascii="Arial" w:hAnsi="Arial" w:cs="Arial"/>
          <w:sz w:val="24"/>
          <w:szCs w:val="24"/>
        </w:rPr>
        <w:t xml:space="preserve">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300DD2B3" w14:textId="77777777" w:rsidR="003C4676"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7A11DD">
        <w:rPr>
          <w:rFonts w:ascii="Arial" w:hAnsi="Arial" w:cs="Arial"/>
          <w:sz w:val="24"/>
          <w:szCs w:val="24"/>
        </w:rPr>
        <w:t>5</w:t>
      </w:r>
      <w:r>
        <w:rPr>
          <w:rFonts w:ascii="Arial" w:hAnsi="Arial" w:cs="Arial"/>
          <w:sz w:val="24"/>
          <w:szCs w:val="24"/>
        </w:rPr>
        <w:t>.</w:t>
      </w:r>
      <w:r w:rsidR="003C4676">
        <w:rPr>
          <w:rFonts w:ascii="Arial" w:hAnsi="Arial" w:cs="Arial"/>
          <w:sz w:val="24"/>
          <w:szCs w:val="24"/>
        </w:rPr>
        <w:t xml:space="preserve"> </w:t>
      </w:r>
    </w:p>
    <w:p w14:paraId="22C8D2EC" w14:textId="17B5AF2B" w:rsidR="004A59B1" w:rsidRDefault="003C4676" w:rsidP="006C74F1">
      <w:pPr>
        <w:pStyle w:val="Akapitzlist"/>
        <w:spacing w:line="240" w:lineRule="auto"/>
        <w:ind w:left="360"/>
        <w:contextualSpacing w:val="0"/>
        <w:rPr>
          <w:rFonts w:ascii="Arial" w:hAnsi="Arial" w:cs="Arial"/>
          <w:sz w:val="24"/>
          <w:szCs w:val="24"/>
        </w:rPr>
      </w:pPr>
      <w:r>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3C4676">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3C4676">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3C4676">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3C4676">
        <w:rPr>
          <w:rStyle w:val="Nagwek3Znak"/>
        </w:rPr>
        <w:t xml:space="preserve">Wzór </w:t>
      </w:r>
      <w:r w:rsidRPr="003C4676">
        <w:rPr>
          <w:rStyle w:val="Nagwek3Znak"/>
        </w:rPr>
        <w:t>3</w:t>
      </w:r>
      <w:r w:rsidR="007566F3" w:rsidRPr="003C4676">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3C4676">
      <w:pPr>
        <w:pStyle w:val="Nagwek3"/>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3C4676">
        <w:t xml:space="preserve">Wzór </w:t>
      </w:r>
      <w:r w:rsidR="00563D8B" w:rsidRPr="003C4676">
        <w:t>4</w:t>
      </w:r>
      <w:r w:rsidR="007566F3" w:rsidRPr="003C4676">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3C4676">
      <w:pPr>
        <w:pStyle w:val="Nagwek3"/>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sidRPr="003C4676">
        <w:t xml:space="preserve">Wzór </w:t>
      </w:r>
      <w:r w:rsidR="00563D8B" w:rsidRPr="003C4676">
        <w:t>5</w:t>
      </w:r>
      <w:r w:rsidR="00443E96" w:rsidRPr="003C4676">
        <w:t xml:space="preserve"> </w:t>
      </w:r>
      <w:r w:rsidR="00B32C06" w:rsidRPr="003C467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C4676">
      <w:pPr>
        <w:pStyle w:val="Nagwek3"/>
      </w:pPr>
      <w:r w:rsidRPr="00375416">
        <w:t xml:space="preserve">Wzór </w:t>
      </w:r>
      <w:r w:rsidR="00563D8B">
        <w:t xml:space="preserve">6 </w:t>
      </w:r>
      <w:r w:rsidRPr="00375416">
        <w:t>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245C" w14:textId="77777777" w:rsidR="001D7131" w:rsidRDefault="001D7131" w:rsidP="00A07FB2">
      <w:pPr>
        <w:spacing w:after="0" w:line="240" w:lineRule="auto"/>
      </w:pPr>
      <w:r>
        <w:separator/>
      </w:r>
    </w:p>
  </w:endnote>
  <w:endnote w:type="continuationSeparator" w:id="0">
    <w:p w14:paraId="11C9DCA6" w14:textId="77777777" w:rsidR="001D7131" w:rsidRDefault="001D713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71C2901C" w:rsidR="007B164A" w:rsidRDefault="007B164A">
        <w:pPr>
          <w:pStyle w:val="Stopka"/>
          <w:jc w:val="center"/>
        </w:pPr>
        <w:r>
          <w:fldChar w:fldCharType="begin"/>
        </w:r>
        <w:r>
          <w:instrText>PAGE   \* MERGEFORMAT</w:instrText>
        </w:r>
        <w:r>
          <w:fldChar w:fldCharType="separate"/>
        </w:r>
        <w:r w:rsidR="0074485E">
          <w:rPr>
            <w:noProof/>
          </w:rPr>
          <w:t>1</w:t>
        </w:r>
        <w:r>
          <w:fldChar w:fldCharType="end"/>
        </w:r>
      </w:p>
    </w:sdtContent>
  </w:sdt>
  <w:p w14:paraId="4502DBDB" w14:textId="77777777" w:rsidR="007B164A" w:rsidRDefault="007B16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166F" w14:textId="77777777" w:rsidR="001D7131" w:rsidRDefault="001D7131" w:rsidP="00A07FB2">
      <w:pPr>
        <w:spacing w:after="0" w:line="240" w:lineRule="auto"/>
      </w:pPr>
      <w:r>
        <w:separator/>
      </w:r>
    </w:p>
  </w:footnote>
  <w:footnote w:type="continuationSeparator" w:id="0">
    <w:p w14:paraId="027B1E02" w14:textId="77777777" w:rsidR="001D7131" w:rsidRDefault="001D7131" w:rsidP="00A07FB2">
      <w:pPr>
        <w:spacing w:after="0" w:line="240" w:lineRule="auto"/>
      </w:pPr>
      <w:r>
        <w:continuationSeparator/>
      </w:r>
    </w:p>
  </w:footnote>
  <w:footnote w:id="1">
    <w:p w14:paraId="4B1F0B26"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7B164A" w:rsidRPr="0004312A" w:rsidRDefault="007B164A"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7B164A" w:rsidRDefault="007B164A"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7B164A" w:rsidRPr="0004312A" w:rsidRDefault="007B164A"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7B164A" w:rsidRDefault="007B164A"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1E01FB"/>
    <w:multiLevelType w:val="hybridMultilevel"/>
    <w:tmpl w:val="4C908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07016"/>
    <w:multiLevelType w:val="hybridMultilevel"/>
    <w:tmpl w:val="874CDB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FB6F21"/>
    <w:multiLevelType w:val="hybridMultilevel"/>
    <w:tmpl w:val="25CE9B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3C3C2A"/>
    <w:multiLevelType w:val="hybridMultilevel"/>
    <w:tmpl w:val="B2A4BE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763CC6"/>
    <w:multiLevelType w:val="hybridMultilevel"/>
    <w:tmpl w:val="50B83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AE70909"/>
    <w:multiLevelType w:val="hybridMultilevel"/>
    <w:tmpl w:val="B1C0C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CFA3852"/>
    <w:multiLevelType w:val="hybridMultilevel"/>
    <w:tmpl w:val="EC5E8BDE"/>
    <w:lvl w:ilvl="0" w:tplc="2428873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90E7E7D"/>
    <w:multiLevelType w:val="hybridMultilevel"/>
    <w:tmpl w:val="BCEE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4B048C"/>
    <w:multiLevelType w:val="hybridMultilevel"/>
    <w:tmpl w:val="6B368D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BB6F68"/>
    <w:multiLevelType w:val="hybridMultilevel"/>
    <w:tmpl w:val="682E1E2E"/>
    <w:lvl w:ilvl="0" w:tplc="60749F0E">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25" w15:restartNumberingAfterBreak="0">
    <w:nsid w:val="433E597C"/>
    <w:multiLevelType w:val="hybridMultilevel"/>
    <w:tmpl w:val="A5589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BF79A6"/>
    <w:multiLevelType w:val="hybridMultilevel"/>
    <w:tmpl w:val="4C20D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94358C"/>
    <w:multiLevelType w:val="hybridMultilevel"/>
    <w:tmpl w:val="FBC2F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7FA6B5E"/>
    <w:multiLevelType w:val="hybridMultilevel"/>
    <w:tmpl w:val="70A6F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41480"/>
    <w:multiLevelType w:val="hybridMultilevel"/>
    <w:tmpl w:val="5300B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2F0341"/>
    <w:multiLevelType w:val="hybridMultilevel"/>
    <w:tmpl w:val="AD901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3"/>
  </w:num>
  <w:num w:numId="3">
    <w:abstractNumId w:val="17"/>
  </w:num>
  <w:num w:numId="4">
    <w:abstractNumId w:val="0"/>
  </w:num>
  <w:num w:numId="5">
    <w:abstractNumId w:val="43"/>
  </w:num>
  <w:num w:numId="6">
    <w:abstractNumId w:val="44"/>
  </w:num>
  <w:num w:numId="7">
    <w:abstractNumId w:val="34"/>
  </w:num>
  <w:num w:numId="8">
    <w:abstractNumId w:val="18"/>
  </w:num>
  <w:num w:numId="9">
    <w:abstractNumId w:val="41"/>
  </w:num>
  <w:num w:numId="10">
    <w:abstractNumId w:val="23"/>
  </w:num>
  <w:num w:numId="11">
    <w:abstractNumId w:val="30"/>
  </w:num>
  <w:num w:numId="12">
    <w:abstractNumId w:val="45"/>
  </w:num>
  <w:num w:numId="13">
    <w:abstractNumId w:val="21"/>
  </w:num>
  <w:num w:numId="14">
    <w:abstractNumId w:val="40"/>
  </w:num>
  <w:num w:numId="15">
    <w:abstractNumId w:val="1"/>
  </w:num>
  <w:num w:numId="16">
    <w:abstractNumId w:val="39"/>
  </w:num>
  <w:num w:numId="17">
    <w:abstractNumId w:val="15"/>
  </w:num>
  <w:num w:numId="18">
    <w:abstractNumId w:val="8"/>
  </w:num>
  <w:num w:numId="19">
    <w:abstractNumId w:val="16"/>
  </w:num>
  <w:num w:numId="20">
    <w:abstractNumId w:val="11"/>
  </w:num>
  <w:num w:numId="21">
    <w:abstractNumId w:val="37"/>
  </w:num>
  <w:num w:numId="22">
    <w:abstractNumId w:val="22"/>
  </w:num>
  <w:num w:numId="23">
    <w:abstractNumId w:val="4"/>
  </w:num>
  <w:num w:numId="24">
    <w:abstractNumId w:val="14"/>
  </w:num>
  <w:num w:numId="25">
    <w:abstractNumId w:val="31"/>
  </w:num>
  <w:num w:numId="26">
    <w:abstractNumId w:val="42"/>
  </w:num>
  <w:num w:numId="27">
    <w:abstractNumId w:val="10"/>
  </w:num>
  <w:num w:numId="28">
    <w:abstractNumId w:val="28"/>
  </w:num>
  <w:num w:numId="29">
    <w:abstractNumId w:val="20"/>
  </w:num>
  <w:num w:numId="30">
    <w:abstractNumId w:val="2"/>
  </w:num>
  <w:num w:numId="31">
    <w:abstractNumId w:val="25"/>
  </w:num>
  <w:num w:numId="32">
    <w:abstractNumId w:val="9"/>
  </w:num>
  <w:num w:numId="33">
    <w:abstractNumId w:val="38"/>
  </w:num>
  <w:num w:numId="34">
    <w:abstractNumId w:val="36"/>
  </w:num>
  <w:num w:numId="35">
    <w:abstractNumId w:val="6"/>
  </w:num>
  <w:num w:numId="36">
    <w:abstractNumId w:val="7"/>
  </w:num>
  <w:num w:numId="37">
    <w:abstractNumId w:val="27"/>
  </w:num>
  <w:num w:numId="38">
    <w:abstractNumId w:val="12"/>
  </w:num>
  <w:num w:numId="39">
    <w:abstractNumId w:val="35"/>
  </w:num>
  <w:num w:numId="40">
    <w:abstractNumId w:val="32"/>
  </w:num>
  <w:num w:numId="41">
    <w:abstractNumId w:val="5"/>
  </w:num>
  <w:num w:numId="42">
    <w:abstractNumId w:val="13"/>
  </w:num>
  <w:num w:numId="43">
    <w:abstractNumId w:val="24"/>
  </w:num>
  <w:num w:numId="44">
    <w:abstractNumId w:val="33"/>
  </w:num>
  <w:num w:numId="45">
    <w:abstractNumId w:val="19"/>
  </w:num>
  <w:num w:numId="4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5AE"/>
    <w:rsid w:val="000612FA"/>
    <w:rsid w:val="00062DBF"/>
    <w:rsid w:val="00064B52"/>
    <w:rsid w:val="00072EE9"/>
    <w:rsid w:val="000739A2"/>
    <w:rsid w:val="0007487D"/>
    <w:rsid w:val="00076A29"/>
    <w:rsid w:val="000775DE"/>
    <w:rsid w:val="00077C4C"/>
    <w:rsid w:val="00077C82"/>
    <w:rsid w:val="00080171"/>
    <w:rsid w:val="00082EA4"/>
    <w:rsid w:val="0008435F"/>
    <w:rsid w:val="000A2D0E"/>
    <w:rsid w:val="000B1DB2"/>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70B8E"/>
    <w:rsid w:val="001711D3"/>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397C"/>
    <w:rsid w:val="001A5588"/>
    <w:rsid w:val="001A76BC"/>
    <w:rsid w:val="001B2FE3"/>
    <w:rsid w:val="001B5D3A"/>
    <w:rsid w:val="001D2D0E"/>
    <w:rsid w:val="001D2DD4"/>
    <w:rsid w:val="001D4262"/>
    <w:rsid w:val="001D5550"/>
    <w:rsid w:val="001D7131"/>
    <w:rsid w:val="001E2AE1"/>
    <w:rsid w:val="001E69A0"/>
    <w:rsid w:val="001F0A66"/>
    <w:rsid w:val="001F122D"/>
    <w:rsid w:val="001F2B48"/>
    <w:rsid w:val="001F3FF7"/>
    <w:rsid w:val="001F5E68"/>
    <w:rsid w:val="00200A2B"/>
    <w:rsid w:val="0020292A"/>
    <w:rsid w:val="0020526D"/>
    <w:rsid w:val="00210F86"/>
    <w:rsid w:val="00215435"/>
    <w:rsid w:val="002247B0"/>
    <w:rsid w:val="00225A01"/>
    <w:rsid w:val="0023292C"/>
    <w:rsid w:val="00233D70"/>
    <w:rsid w:val="00233E28"/>
    <w:rsid w:val="0023739D"/>
    <w:rsid w:val="00242D45"/>
    <w:rsid w:val="00245920"/>
    <w:rsid w:val="0025050E"/>
    <w:rsid w:val="00251E09"/>
    <w:rsid w:val="00254DD4"/>
    <w:rsid w:val="00257EA0"/>
    <w:rsid w:val="0026032E"/>
    <w:rsid w:val="0026536F"/>
    <w:rsid w:val="0026573F"/>
    <w:rsid w:val="002663AA"/>
    <w:rsid w:val="00275BF7"/>
    <w:rsid w:val="0027731E"/>
    <w:rsid w:val="00282B96"/>
    <w:rsid w:val="0028698E"/>
    <w:rsid w:val="00286CAB"/>
    <w:rsid w:val="0028757D"/>
    <w:rsid w:val="00290029"/>
    <w:rsid w:val="002A1218"/>
    <w:rsid w:val="002A3EAE"/>
    <w:rsid w:val="002C3D90"/>
    <w:rsid w:val="002C527F"/>
    <w:rsid w:val="002C571E"/>
    <w:rsid w:val="002D1BBE"/>
    <w:rsid w:val="002D3CA7"/>
    <w:rsid w:val="002D3DFB"/>
    <w:rsid w:val="002E2F79"/>
    <w:rsid w:val="002E3A0C"/>
    <w:rsid w:val="002E4DEC"/>
    <w:rsid w:val="002F014C"/>
    <w:rsid w:val="002F1791"/>
    <w:rsid w:val="002F2B78"/>
    <w:rsid w:val="002F731A"/>
    <w:rsid w:val="00305DCB"/>
    <w:rsid w:val="00315CEC"/>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C2E2F"/>
    <w:rsid w:val="003C4676"/>
    <w:rsid w:val="003D18CA"/>
    <w:rsid w:val="003D5A4C"/>
    <w:rsid w:val="003D713E"/>
    <w:rsid w:val="003E188E"/>
    <w:rsid w:val="003E2061"/>
    <w:rsid w:val="003E52E6"/>
    <w:rsid w:val="003F0381"/>
    <w:rsid w:val="003F7DA4"/>
    <w:rsid w:val="00402A69"/>
    <w:rsid w:val="00402E2C"/>
    <w:rsid w:val="00406325"/>
    <w:rsid w:val="00415D81"/>
    <w:rsid w:val="00422DA4"/>
    <w:rsid w:val="00424C80"/>
    <w:rsid w:val="00425A5D"/>
    <w:rsid w:val="0043323E"/>
    <w:rsid w:val="004340D1"/>
    <w:rsid w:val="00436C33"/>
    <w:rsid w:val="0044254C"/>
    <w:rsid w:val="00443E96"/>
    <w:rsid w:val="00444578"/>
    <w:rsid w:val="00452E3F"/>
    <w:rsid w:val="00454415"/>
    <w:rsid w:val="00456853"/>
    <w:rsid w:val="004626A0"/>
    <w:rsid w:val="00462A56"/>
    <w:rsid w:val="00465A62"/>
    <w:rsid w:val="0047321C"/>
    <w:rsid w:val="00475E2F"/>
    <w:rsid w:val="00476769"/>
    <w:rsid w:val="00477217"/>
    <w:rsid w:val="00477EBA"/>
    <w:rsid w:val="00480106"/>
    <w:rsid w:val="00481767"/>
    <w:rsid w:val="00481FC9"/>
    <w:rsid w:val="0048295C"/>
    <w:rsid w:val="00493D45"/>
    <w:rsid w:val="004940E7"/>
    <w:rsid w:val="00497079"/>
    <w:rsid w:val="004A079E"/>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1A82"/>
    <w:rsid w:val="004F6ACA"/>
    <w:rsid w:val="00500ABF"/>
    <w:rsid w:val="00503E48"/>
    <w:rsid w:val="0051162F"/>
    <w:rsid w:val="00513C25"/>
    <w:rsid w:val="00521F27"/>
    <w:rsid w:val="00522D07"/>
    <w:rsid w:val="00522ED9"/>
    <w:rsid w:val="00523703"/>
    <w:rsid w:val="00530548"/>
    <w:rsid w:val="00534496"/>
    <w:rsid w:val="0054595A"/>
    <w:rsid w:val="00551470"/>
    <w:rsid w:val="00563D8B"/>
    <w:rsid w:val="00564472"/>
    <w:rsid w:val="00571244"/>
    <w:rsid w:val="00571333"/>
    <w:rsid w:val="005728F3"/>
    <w:rsid w:val="005735B4"/>
    <w:rsid w:val="00574EAB"/>
    <w:rsid w:val="0058081C"/>
    <w:rsid w:val="00580C91"/>
    <w:rsid w:val="0058171A"/>
    <w:rsid w:val="00591312"/>
    <w:rsid w:val="00593BAD"/>
    <w:rsid w:val="005A071A"/>
    <w:rsid w:val="005A1EB7"/>
    <w:rsid w:val="005B2393"/>
    <w:rsid w:val="005B2C94"/>
    <w:rsid w:val="005B7836"/>
    <w:rsid w:val="005C060E"/>
    <w:rsid w:val="005C7BC3"/>
    <w:rsid w:val="005D08BE"/>
    <w:rsid w:val="005D2A42"/>
    <w:rsid w:val="005D36F6"/>
    <w:rsid w:val="005D67C2"/>
    <w:rsid w:val="005E027C"/>
    <w:rsid w:val="005E1947"/>
    <w:rsid w:val="005E4351"/>
    <w:rsid w:val="005E7C77"/>
    <w:rsid w:val="005F4D96"/>
    <w:rsid w:val="005F7BDF"/>
    <w:rsid w:val="00600A58"/>
    <w:rsid w:val="00602DD7"/>
    <w:rsid w:val="00611D9C"/>
    <w:rsid w:val="00614D5C"/>
    <w:rsid w:val="00614D70"/>
    <w:rsid w:val="00616248"/>
    <w:rsid w:val="00620A5A"/>
    <w:rsid w:val="00623BEF"/>
    <w:rsid w:val="0062471B"/>
    <w:rsid w:val="00626BA0"/>
    <w:rsid w:val="00630642"/>
    <w:rsid w:val="00632981"/>
    <w:rsid w:val="00643C09"/>
    <w:rsid w:val="00644DAD"/>
    <w:rsid w:val="006548F2"/>
    <w:rsid w:val="00657401"/>
    <w:rsid w:val="00657FC6"/>
    <w:rsid w:val="00661846"/>
    <w:rsid w:val="006626FC"/>
    <w:rsid w:val="00664305"/>
    <w:rsid w:val="00665A4A"/>
    <w:rsid w:val="00673310"/>
    <w:rsid w:val="0067620E"/>
    <w:rsid w:val="00677178"/>
    <w:rsid w:val="00684CE3"/>
    <w:rsid w:val="006917B0"/>
    <w:rsid w:val="00694292"/>
    <w:rsid w:val="0069584B"/>
    <w:rsid w:val="0069682C"/>
    <w:rsid w:val="00697FFC"/>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7B90"/>
    <w:rsid w:val="00702001"/>
    <w:rsid w:val="007100FF"/>
    <w:rsid w:val="0071791F"/>
    <w:rsid w:val="00721FB1"/>
    <w:rsid w:val="00723CA1"/>
    <w:rsid w:val="00724309"/>
    <w:rsid w:val="00725824"/>
    <w:rsid w:val="0072593F"/>
    <w:rsid w:val="00734A88"/>
    <w:rsid w:val="00737CA4"/>
    <w:rsid w:val="007429ED"/>
    <w:rsid w:val="0074485E"/>
    <w:rsid w:val="0074622B"/>
    <w:rsid w:val="00750297"/>
    <w:rsid w:val="00751A7F"/>
    <w:rsid w:val="007566F3"/>
    <w:rsid w:val="0075736A"/>
    <w:rsid w:val="0077058E"/>
    <w:rsid w:val="0077363F"/>
    <w:rsid w:val="007749C3"/>
    <w:rsid w:val="007838E2"/>
    <w:rsid w:val="00784A85"/>
    <w:rsid w:val="007855C3"/>
    <w:rsid w:val="007927C8"/>
    <w:rsid w:val="007A11DD"/>
    <w:rsid w:val="007A1DFB"/>
    <w:rsid w:val="007A1FFB"/>
    <w:rsid w:val="007A3153"/>
    <w:rsid w:val="007A6331"/>
    <w:rsid w:val="007B164A"/>
    <w:rsid w:val="007B251F"/>
    <w:rsid w:val="007B3571"/>
    <w:rsid w:val="007B576B"/>
    <w:rsid w:val="007C19F5"/>
    <w:rsid w:val="007C1F9E"/>
    <w:rsid w:val="007C5A53"/>
    <w:rsid w:val="007C63ED"/>
    <w:rsid w:val="007C74F1"/>
    <w:rsid w:val="007D09FF"/>
    <w:rsid w:val="007E1877"/>
    <w:rsid w:val="007E34DE"/>
    <w:rsid w:val="007F62CC"/>
    <w:rsid w:val="007F6419"/>
    <w:rsid w:val="00800168"/>
    <w:rsid w:val="00800566"/>
    <w:rsid w:val="00804486"/>
    <w:rsid w:val="008046FA"/>
    <w:rsid w:val="00806FB9"/>
    <w:rsid w:val="008125DD"/>
    <w:rsid w:val="0081315E"/>
    <w:rsid w:val="00814035"/>
    <w:rsid w:val="00821DC7"/>
    <w:rsid w:val="008315D0"/>
    <w:rsid w:val="00832333"/>
    <w:rsid w:val="00832F0B"/>
    <w:rsid w:val="00835559"/>
    <w:rsid w:val="00845151"/>
    <w:rsid w:val="00853728"/>
    <w:rsid w:val="00855EFE"/>
    <w:rsid w:val="008602CF"/>
    <w:rsid w:val="00861799"/>
    <w:rsid w:val="00863F44"/>
    <w:rsid w:val="00865A74"/>
    <w:rsid w:val="00867D29"/>
    <w:rsid w:val="008774D5"/>
    <w:rsid w:val="00880637"/>
    <w:rsid w:val="00886AB5"/>
    <w:rsid w:val="008876BC"/>
    <w:rsid w:val="00895F3A"/>
    <w:rsid w:val="00897768"/>
    <w:rsid w:val="008A6565"/>
    <w:rsid w:val="008C07D2"/>
    <w:rsid w:val="008C2126"/>
    <w:rsid w:val="008D0BE6"/>
    <w:rsid w:val="008D1F98"/>
    <w:rsid w:val="008D2364"/>
    <w:rsid w:val="008D6BED"/>
    <w:rsid w:val="008D7C74"/>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4107D"/>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1BCB"/>
    <w:rsid w:val="009A4030"/>
    <w:rsid w:val="009A4D58"/>
    <w:rsid w:val="009B0791"/>
    <w:rsid w:val="009B52F9"/>
    <w:rsid w:val="009B5B7E"/>
    <w:rsid w:val="009C2B01"/>
    <w:rsid w:val="009C536C"/>
    <w:rsid w:val="009C6C29"/>
    <w:rsid w:val="009D75DD"/>
    <w:rsid w:val="009E1B95"/>
    <w:rsid w:val="009E5720"/>
    <w:rsid w:val="009F1683"/>
    <w:rsid w:val="009F3E85"/>
    <w:rsid w:val="009F4ED5"/>
    <w:rsid w:val="00A02FB1"/>
    <w:rsid w:val="00A07B3F"/>
    <w:rsid w:val="00A07FB2"/>
    <w:rsid w:val="00A135FA"/>
    <w:rsid w:val="00A24214"/>
    <w:rsid w:val="00A3511E"/>
    <w:rsid w:val="00A412ED"/>
    <w:rsid w:val="00A442E6"/>
    <w:rsid w:val="00A51AEA"/>
    <w:rsid w:val="00A54122"/>
    <w:rsid w:val="00A54446"/>
    <w:rsid w:val="00A565BF"/>
    <w:rsid w:val="00A62628"/>
    <w:rsid w:val="00A63E85"/>
    <w:rsid w:val="00A64FF7"/>
    <w:rsid w:val="00A669AC"/>
    <w:rsid w:val="00A67EB6"/>
    <w:rsid w:val="00A7213A"/>
    <w:rsid w:val="00A76A54"/>
    <w:rsid w:val="00A80AF1"/>
    <w:rsid w:val="00A81252"/>
    <w:rsid w:val="00A873D0"/>
    <w:rsid w:val="00A94027"/>
    <w:rsid w:val="00A96A1F"/>
    <w:rsid w:val="00A97593"/>
    <w:rsid w:val="00AA3153"/>
    <w:rsid w:val="00AB0C80"/>
    <w:rsid w:val="00AB7278"/>
    <w:rsid w:val="00AC06A0"/>
    <w:rsid w:val="00AC1BD3"/>
    <w:rsid w:val="00AD2339"/>
    <w:rsid w:val="00AD24C8"/>
    <w:rsid w:val="00AD35D0"/>
    <w:rsid w:val="00AD7472"/>
    <w:rsid w:val="00AD7AAB"/>
    <w:rsid w:val="00AF05B8"/>
    <w:rsid w:val="00AF34A4"/>
    <w:rsid w:val="00AF5E9A"/>
    <w:rsid w:val="00B02B60"/>
    <w:rsid w:val="00B03445"/>
    <w:rsid w:val="00B24B48"/>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393B"/>
    <w:rsid w:val="00B94E5C"/>
    <w:rsid w:val="00B94F27"/>
    <w:rsid w:val="00B951D0"/>
    <w:rsid w:val="00B971D9"/>
    <w:rsid w:val="00BA20A7"/>
    <w:rsid w:val="00BA2527"/>
    <w:rsid w:val="00BA53DF"/>
    <w:rsid w:val="00BA723A"/>
    <w:rsid w:val="00BB29BE"/>
    <w:rsid w:val="00BB6DA4"/>
    <w:rsid w:val="00BB7B24"/>
    <w:rsid w:val="00BC08D6"/>
    <w:rsid w:val="00BC0974"/>
    <w:rsid w:val="00BC0FF6"/>
    <w:rsid w:val="00BC5463"/>
    <w:rsid w:val="00BC6CBC"/>
    <w:rsid w:val="00BD1B30"/>
    <w:rsid w:val="00BE1B22"/>
    <w:rsid w:val="00BE3E5A"/>
    <w:rsid w:val="00BE6185"/>
    <w:rsid w:val="00BF01B4"/>
    <w:rsid w:val="00C042DD"/>
    <w:rsid w:val="00C04BF8"/>
    <w:rsid w:val="00C235C0"/>
    <w:rsid w:val="00C2398F"/>
    <w:rsid w:val="00C25EE1"/>
    <w:rsid w:val="00C3075A"/>
    <w:rsid w:val="00C33725"/>
    <w:rsid w:val="00C37E27"/>
    <w:rsid w:val="00C44C91"/>
    <w:rsid w:val="00C46210"/>
    <w:rsid w:val="00C47791"/>
    <w:rsid w:val="00C500CC"/>
    <w:rsid w:val="00C50860"/>
    <w:rsid w:val="00C553E0"/>
    <w:rsid w:val="00C55A20"/>
    <w:rsid w:val="00C56AE0"/>
    <w:rsid w:val="00C57491"/>
    <w:rsid w:val="00C64BEC"/>
    <w:rsid w:val="00C70A8D"/>
    <w:rsid w:val="00C71C00"/>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40313"/>
    <w:rsid w:val="00D5215E"/>
    <w:rsid w:val="00D61649"/>
    <w:rsid w:val="00D651CB"/>
    <w:rsid w:val="00D7004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3ADF"/>
    <w:rsid w:val="00E4505B"/>
    <w:rsid w:val="00E51F5C"/>
    <w:rsid w:val="00E533F3"/>
    <w:rsid w:val="00E54DF5"/>
    <w:rsid w:val="00E55ED4"/>
    <w:rsid w:val="00E62DD1"/>
    <w:rsid w:val="00E65B84"/>
    <w:rsid w:val="00E727EE"/>
    <w:rsid w:val="00E74D64"/>
    <w:rsid w:val="00E74FA4"/>
    <w:rsid w:val="00E77DCA"/>
    <w:rsid w:val="00E83B58"/>
    <w:rsid w:val="00E84B66"/>
    <w:rsid w:val="00E90AC8"/>
    <w:rsid w:val="00E94C2E"/>
    <w:rsid w:val="00E9522D"/>
    <w:rsid w:val="00EA7952"/>
    <w:rsid w:val="00EA7DFA"/>
    <w:rsid w:val="00EB0E17"/>
    <w:rsid w:val="00EC322C"/>
    <w:rsid w:val="00EC43E2"/>
    <w:rsid w:val="00EC5077"/>
    <w:rsid w:val="00ED142F"/>
    <w:rsid w:val="00ED2123"/>
    <w:rsid w:val="00ED4625"/>
    <w:rsid w:val="00ED5718"/>
    <w:rsid w:val="00ED6F51"/>
    <w:rsid w:val="00ED7F71"/>
    <w:rsid w:val="00EE2F13"/>
    <w:rsid w:val="00EE3042"/>
    <w:rsid w:val="00EE5661"/>
    <w:rsid w:val="00EE69E5"/>
    <w:rsid w:val="00EF0156"/>
    <w:rsid w:val="00EF1AE0"/>
    <w:rsid w:val="00EF6909"/>
    <w:rsid w:val="00F00A6B"/>
    <w:rsid w:val="00F01E02"/>
    <w:rsid w:val="00F0366A"/>
    <w:rsid w:val="00F07EBE"/>
    <w:rsid w:val="00F11710"/>
    <w:rsid w:val="00F23456"/>
    <w:rsid w:val="00F25211"/>
    <w:rsid w:val="00F30761"/>
    <w:rsid w:val="00F41159"/>
    <w:rsid w:val="00F454E1"/>
    <w:rsid w:val="00F52809"/>
    <w:rsid w:val="00F53E4F"/>
    <w:rsid w:val="00F5608F"/>
    <w:rsid w:val="00F566DF"/>
    <w:rsid w:val="00F668A0"/>
    <w:rsid w:val="00F83407"/>
    <w:rsid w:val="00F90646"/>
    <w:rsid w:val="00F924AA"/>
    <w:rsid w:val="00F9503B"/>
    <w:rsid w:val="00F97B71"/>
    <w:rsid w:val="00FA041D"/>
    <w:rsid w:val="00FA21B3"/>
    <w:rsid w:val="00FA4717"/>
    <w:rsid w:val="00FA609E"/>
    <w:rsid w:val="00FA6F09"/>
    <w:rsid w:val="00FA6FE9"/>
    <w:rsid w:val="00FD0F79"/>
    <w:rsid w:val="00FD2295"/>
    <w:rsid w:val="00FD2513"/>
    <w:rsid w:val="00FD4106"/>
    <w:rsid w:val="00FD4682"/>
    <w:rsid w:val="00FE0116"/>
    <w:rsid w:val="00FE4521"/>
    <w:rsid w:val="00FE491E"/>
    <w:rsid w:val="00FE67FE"/>
    <w:rsid w:val="00FF486B"/>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C4676"/>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3C4676"/>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073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nowe-zasady-pomocy-de-mini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malopolska.pl/dokumenty/8912-szablon-sporzadzania-audytu-energetycznego-dla-budynkow-uzytecznosci-publicznej"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F1C9-A720-4D57-97A5-E2101A7E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6163</Words>
  <Characters>36980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dcterms:created xsi:type="dcterms:W3CDTF">2024-09-27T07:01:00Z</dcterms:created>
  <dcterms:modified xsi:type="dcterms:W3CDTF">2024-10-02T08:38:00Z</dcterms:modified>
</cp:coreProperties>
</file>