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1D405E5"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7B1854" w:rsidRPr="007B1854">
        <w:rPr>
          <w:rFonts w:ascii="Arial" w:eastAsia="Times New Roman" w:hAnsi="Arial" w:cs="Arial"/>
          <w:iCs/>
          <w:sz w:val="20"/>
          <w:szCs w:val="20"/>
          <w:lang w:eastAsia="ar-SA"/>
        </w:rPr>
        <w:t>FEMP.03.01-IZ.00-019/25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765F4E94" w:rsidR="009B3126" w:rsidRDefault="009B3126" w:rsidP="00E23E4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D00985" w:rsidRPr="00D00985">
        <w:rPr>
          <w:rFonts w:ascii="Arial" w:eastAsia="Times New Roman" w:hAnsi="Arial" w:cs="Arial"/>
          <w:sz w:val="24"/>
          <w:szCs w:val="24"/>
          <w:lang w:eastAsia="ar-SA"/>
        </w:rPr>
        <w:t>3 Fundusze europejskie dla transportu miejskiego, Działania 3.1 Transport miejski - ZIT, typ projektu A transport miejski, typ projektu B Plany Zrównoważonej Mobilności Miejskiej</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4702FBC7" w14:textId="77777777" w:rsidR="00D00985" w:rsidRDefault="00D00985" w:rsidP="00CF1BE3">
      <w:pPr>
        <w:pStyle w:val="Akapitzlist"/>
        <w:numPr>
          <w:ilvl w:val="0"/>
          <w:numId w:val="34"/>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Samorządu Terytorialnego, </w:t>
      </w:r>
    </w:p>
    <w:p w14:paraId="5881E9F7" w14:textId="77777777" w:rsidR="00D00985" w:rsidRDefault="00D00985" w:rsidP="00D00985">
      <w:pPr>
        <w:pStyle w:val="Akapitzlist"/>
        <w:spacing w:after="120" w:line="276" w:lineRule="auto"/>
        <w:ind w:left="360"/>
        <w:contextualSpacing w:val="0"/>
        <w:rPr>
          <w:rFonts w:ascii="Arial" w:eastAsia="Times New Roman" w:hAnsi="Arial" w:cs="Arial"/>
          <w:sz w:val="24"/>
          <w:szCs w:val="24"/>
          <w:lang w:eastAsia="ar-SA"/>
        </w:rPr>
      </w:pPr>
      <w:r w:rsidRPr="00B171F1">
        <w:rPr>
          <w:rFonts w:ascii="Arial" w:eastAsia="Times New Roman" w:hAnsi="Arial" w:cs="Arial"/>
          <w:sz w:val="24"/>
          <w:szCs w:val="24"/>
          <w:lang w:eastAsia="ar-SA"/>
        </w:rPr>
        <w:t>Wnioskodawcami mogącymi brać udział w naborach będą jednostki samorządu terytorialnego ich związki i stowarzyszenia.</w:t>
      </w:r>
    </w:p>
    <w:p w14:paraId="0AF99F6C" w14:textId="77777777" w:rsidR="00D00985" w:rsidRPr="003A6E1D" w:rsidRDefault="00D00985" w:rsidP="00CF1BE3">
      <w:pPr>
        <w:pStyle w:val="Akapitzlist"/>
        <w:numPr>
          <w:ilvl w:val="0"/>
          <w:numId w:val="34"/>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organizacyjne działające w imieniu jednostek samorządu terytorialnego, </w:t>
      </w:r>
    </w:p>
    <w:p w14:paraId="25659AEC" w14:textId="77777777" w:rsidR="00D00985" w:rsidRPr="003A6E1D" w:rsidRDefault="00D00985" w:rsidP="00CF1BE3">
      <w:pPr>
        <w:pStyle w:val="Akapitzlist"/>
        <w:numPr>
          <w:ilvl w:val="0"/>
          <w:numId w:val="34"/>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Organizatorzy i operatorzy publicznego transportu zbiorowego, </w:t>
      </w:r>
    </w:p>
    <w:p w14:paraId="45F51B69" w14:textId="77777777" w:rsidR="00D00985" w:rsidRPr="003A6E1D" w:rsidRDefault="00D00985" w:rsidP="00CF1BE3">
      <w:pPr>
        <w:pStyle w:val="Akapitzlist"/>
        <w:numPr>
          <w:ilvl w:val="0"/>
          <w:numId w:val="34"/>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FE576FC" w14:textId="67297684" w:rsidR="009B3126" w:rsidRDefault="00D00985" w:rsidP="00CF1BE3">
      <w:pPr>
        <w:pStyle w:val="Akapitzlist"/>
        <w:numPr>
          <w:ilvl w:val="0"/>
          <w:numId w:val="34"/>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Zarządcy infrastruktury dworcowej</w:t>
      </w:r>
      <w:r w:rsidR="009B3126">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444D8E0A" w:rsidR="00674AD3" w:rsidRDefault="00674AD3" w:rsidP="002D3ABC">
      <w:pPr>
        <w:pStyle w:val="Nagwek3"/>
      </w:pPr>
      <w:r>
        <w:lastRenderedPageBreak/>
        <w:t>Termin naboru</w:t>
      </w:r>
    </w:p>
    <w:p w14:paraId="4D3A1AF2" w14:textId="5C113664" w:rsidR="003A6E1D" w:rsidRDefault="00D730C4">
      <w:pPr>
        <w:rPr>
          <w:rFonts w:ascii="Arial" w:eastAsia="Times New Roman" w:hAnsi="Arial" w:cs="Arial"/>
          <w:sz w:val="24"/>
          <w:szCs w:val="24"/>
          <w:lang w:eastAsia="ar-SA"/>
        </w:rPr>
      </w:pPr>
      <w:r>
        <w:rPr>
          <w:rFonts w:ascii="Arial" w:eastAsia="Times New Roman" w:hAnsi="Arial" w:cs="Arial"/>
          <w:sz w:val="24"/>
          <w:szCs w:val="24"/>
          <w:lang w:eastAsia="ar-SA"/>
        </w:rPr>
        <w:t>28</w:t>
      </w:r>
      <w:r w:rsidR="007E405D" w:rsidRPr="007E405D">
        <w:rPr>
          <w:rFonts w:ascii="Arial" w:eastAsia="Times New Roman" w:hAnsi="Arial" w:cs="Arial"/>
          <w:sz w:val="24"/>
          <w:szCs w:val="24"/>
          <w:lang w:eastAsia="ar-SA"/>
        </w:rPr>
        <w:t>.02.2025</w:t>
      </w:r>
      <w:r w:rsidR="003A6E1D" w:rsidRPr="007E405D">
        <w:rPr>
          <w:rFonts w:ascii="Arial" w:eastAsia="Times New Roman" w:hAnsi="Arial" w:cs="Arial"/>
          <w:sz w:val="24"/>
          <w:szCs w:val="24"/>
          <w:lang w:eastAsia="ar-SA"/>
        </w:rPr>
        <w:t xml:space="preserve"> r. – </w:t>
      </w:r>
      <w:r w:rsidR="00D00985">
        <w:rPr>
          <w:rFonts w:ascii="Arial" w:eastAsia="Times New Roman" w:hAnsi="Arial" w:cs="Arial"/>
          <w:sz w:val="24"/>
          <w:szCs w:val="24"/>
          <w:lang w:eastAsia="ar-SA"/>
        </w:rPr>
        <w:t>31.03</w:t>
      </w:r>
      <w:r w:rsidR="009B3126"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3028FCBE" w:rsidR="00ED4340" w:rsidRDefault="00D00985" w:rsidP="008B125D">
      <w:pPr>
        <w:spacing w:after="120" w:line="276" w:lineRule="auto"/>
        <w:rPr>
          <w:rFonts w:ascii="Arial" w:eastAsia="Times New Roman" w:hAnsi="Arial" w:cs="Arial"/>
          <w:sz w:val="24"/>
          <w:szCs w:val="24"/>
          <w:lang w:eastAsia="pl-PL"/>
        </w:rPr>
      </w:pPr>
      <w:r w:rsidRPr="00D00985">
        <w:rPr>
          <w:rFonts w:ascii="Arial" w:eastAsia="Times New Roman" w:hAnsi="Arial" w:cs="Arial"/>
          <w:sz w:val="24"/>
          <w:szCs w:val="24"/>
          <w:lang w:eastAsia="pl-PL"/>
        </w:rPr>
        <w:t>83 347 205,83</w:t>
      </w:r>
      <w:r>
        <w:rPr>
          <w:rFonts w:ascii="Arial" w:eastAsia="Times New Roman" w:hAnsi="Arial" w:cs="Arial"/>
          <w:sz w:val="24"/>
          <w:szCs w:val="24"/>
          <w:lang w:eastAsia="pl-PL"/>
        </w:rPr>
        <w:t xml:space="preserve">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23A3F9AB" w14:textId="231D6C91" w:rsidR="008516CD" w:rsidRDefault="008516CD" w:rsidP="00D00985">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43489950" w14:textId="77777777" w:rsidR="00D00985" w:rsidRDefault="00AC120C" w:rsidP="00D00985">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sidR="009B3126">
        <w:rPr>
          <w:rFonts w:ascii="Arial" w:eastAsia="Times New Roman" w:hAnsi="Arial" w:cs="Arial"/>
          <w:sz w:val="24"/>
          <w:szCs w:val="24"/>
          <w:lang w:eastAsia="ar-SA"/>
        </w:rPr>
        <w:t xml:space="preserve">muje </w:t>
      </w:r>
      <w:r w:rsidR="00D00985" w:rsidRPr="00AC120C">
        <w:rPr>
          <w:rFonts w:ascii="Arial" w:eastAsia="Times New Roman" w:hAnsi="Arial" w:cs="Arial"/>
          <w:sz w:val="24"/>
          <w:szCs w:val="24"/>
          <w:lang w:eastAsia="ar-SA"/>
        </w:rPr>
        <w:t>następujące typy projektów:</w:t>
      </w:r>
    </w:p>
    <w:p w14:paraId="532E5D97" w14:textId="77777777" w:rsidR="00D00985" w:rsidRDefault="00D00985" w:rsidP="00CF1BE3">
      <w:pPr>
        <w:pStyle w:val="Akapitzlist"/>
        <w:numPr>
          <w:ilvl w:val="0"/>
          <w:numId w:val="38"/>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Transport miejski,</w:t>
      </w:r>
    </w:p>
    <w:p w14:paraId="34C9474B" w14:textId="77777777" w:rsidR="00D00985" w:rsidRDefault="00D00985" w:rsidP="00CF1BE3">
      <w:pPr>
        <w:pStyle w:val="Akapitzlist"/>
        <w:numPr>
          <w:ilvl w:val="0"/>
          <w:numId w:val="38"/>
        </w:numPr>
        <w:spacing w:after="120" w:line="276" w:lineRule="auto"/>
        <w:contextualSpacing w:val="0"/>
        <w:rPr>
          <w:rFonts w:ascii="Arial" w:eastAsia="Times New Roman" w:hAnsi="Arial" w:cs="Arial"/>
          <w:sz w:val="24"/>
          <w:szCs w:val="24"/>
          <w:lang w:eastAsia="ar-SA"/>
        </w:rPr>
      </w:pPr>
      <w:r w:rsidRPr="00AC120C">
        <w:rPr>
          <w:rFonts w:ascii="Arial" w:eastAsia="Times New Roman" w:hAnsi="Arial" w:cs="Arial"/>
          <w:sz w:val="24"/>
          <w:szCs w:val="24"/>
          <w:lang w:eastAsia="ar-SA"/>
        </w:rPr>
        <w:t>Plany Zrównoważonej Mobilności Miejskiej</w:t>
      </w:r>
      <w:r>
        <w:rPr>
          <w:rFonts w:ascii="Arial" w:eastAsia="Times New Roman" w:hAnsi="Arial" w:cs="Arial"/>
          <w:sz w:val="24"/>
          <w:szCs w:val="24"/>
          <w:lang w:eastAsia="ar-SA"/>
        </w:rPr>
        <w:t>.</w:t>
      </w:r>
    </w:p>
    <w:p w14:paraId="28C0CF21" w14:textId="77777777" w:rsidR="00D00985" w:rsidRPr="00F60B3C" w:rsidRDefault="00D00985" w:rsidP="00D00985">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Typy projektów nie mogą być łączone.</w:t>
      </w:r>
    </w:p>
    <w:p w14:paraId="07D6F863" w14:textId="77777777" w:rsidR="00D00985" w:rsidRDefault="00D00985" w:rsidP="00CF1BE3">
      <w:pPr>
        <w:pStyle w:val="Akapitzlist"/>
        <w:numPr>
          <w:ilvl w:val="0"/>
          <w:numId w:val="43"/>
        </w:numPr>
        <w:spacing w:before="240" w:after="120" w:line="276" w:lineRule="auto"/>
        <w:contextualSpacing w:val="0"/>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A. Transport miejski</w:t>
      </w:r>
    </w:p>
    <w:p w14:paraId="5D03A7CF" w14:textId="77777777" w:rsidR="00D00985" w:rsidRPr="00295D06" w:rsidRDefault="00D00985" w:rsidP="007B1854">
      <w:pPr>
        <w:pStyle w:val="Akapitzlist"/>
        <w:spacing w:after="120" w:line="276" w:lineRule="auto"/>
        <w:ind w:left="360"/>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Wsparciem zostaną objęte następujące kategorie inwestycji:</w:t>
      </w:r>
    </w:p>
    <w:p w14:paraId="704992BA" w14:textId="77777777" w:rsidR="00D00985" w:rsidRDefault="00D00985" w:rsidP="007B1854">
      <w:pPr>
        <w:pStyle w:val="Akapitzlist"/>
        <w:numPr>
          <w:ilvl w:val="0"/>
          <w:numId w:val="39"/>
        </w:numPr>
        <w:spacing w:after="120" w:line="276" w:lineRule="auto"/>
        <w:ind w:left="851" w:hanging="425"/>
        <w:contextualSpacing w:val="0"/>
        <w:rPr>
          <w:rFonts w:ascii="Arial" w:eastAsia="Times New Roman" w:hAnsi="Arial" w:cs="Arial"/>
          <w:b/>
          <w:sz w:val="24"/>
          <w:szCs w:val="24"/>
          <w:lang w:eastAsia="ar-SA"/>
        </w:rPr>
      </w:pPr>
      <w:r w:rsidRPr="00DA23E4">
        <w:rPr>
          <w:rFonts w:ascii="Arial" w:eastAsia="Times New Roman" w:hAnsi="Arial" w:cs="Arial"/>
          <w:b/>
          <w:sz w:val="24"/>
          <w:szCs w:val="24"/>
          <w:lang w:eastAsia="ar-SA"/>
        </w:rPr>
        <w:t xml:space="preserve">nabycie nowego zero- lub niskoemisyjnego taboru autobusowego dla połączeń miejskich i podmiejskich. </w:t>
      </w:r>
    </w:p>
    <w:p w14:paraId="518EE44D" w14:textId="77777777" w:rsidR="00D00985" w:rsidRDefault="00D00985" w:rsidP="007B1854">
      <w:pPr>
        <w:pStyle w:val="Akapitzlist"/>
        <w:spacing w:after="120" w:line="276" w:lineRule="auto"/>
        <w:ind w:left="851"/>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Nabywany tabor będzie spełniał wymogi „ekologicznie czystych pojazdów” w rozumieniu dyrektywy PE i Rady (UE) 2019/1161 zmieniającej dyrektywę 2009/33/WE w sprawie promowania ekologicznie czystych i energooszczędnych pojazdów transportu drogowego.</w:t>
      </w:r>
    </w:p>
    <w:p w14:paraId="71D94C31" w14:textId="77777777" w:rsidR="00D00985" w:rsidRPr="00295D06" w:rsidRDefault="00D00985" w:rsidP="007B1854">
      <w:pPr>
        <w:pStyle w:val="Akapitzlist"/>
        <w:spacing w:after="120" w:line="276" w:lineRule="auto"/>
        <w:ind w:left="851"/>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 xml:space="preserve">Dopuszcza się ujęcie, jako wydatku kwalifikowalnego w ramach projektu dotyczącego nabycia ww. taboru autobusowego asysty technicznej świadczonej w pierwszym okresie eksploatacji nabytego taboru (maks. przez okres 5 lat od momentu zakończenia realizacji projektu, tj. w okresie trwałości projektu), jako usługa uwzględniona w cenie zakupu tego taboru, zgodna z wymogami wytycznych odnoszącymi się do wydatków </w:t>
      </w:r>
      <w:r w:rsidRPr="00295D06">
        <w:rPr>
          <w:rFonts w:ascii="Arial" w:eastAsia="Times New Roman" w:hAnsi="Arial" w:cs="Arial"/>
          <w:sz w:val="24"/>
          <w:szCs w:val="24"/>
          <w:lang w:eastAsia="ar-SA"/>
        </w:rPr>
        <w:lastRenderedPageBreak/>
        <w:t>operacyjnych, czyli z wyłączeniem kwalifikowalności części zamiennych oraz elementów podlegających szybkiemu zużyciu.</w:t>
      </w:r>
    </w:p>
    <w:p w14:paraId="384CD50F" w14:textId="77777777" w:rsidR="00D00985" w:rsidRPr="00DA23E4" w:rsidRDefault="00D00985" w:rsidP="007B1854">
      <w:pPr>
        <w:pStyle w:val="Akapitzlist"/>
        <w:numPr>
          <w:ilvl w:val="0"/>
          <w:numId w:val="39"/>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budowa, przebudowa oraz wyposażenie zaplecza technicznego służącego do obsługi i eksploatacji nisko- i zeroemisyjnego taboru autobusowego transportu publicznego</w:t>
      </w:r>
      <w:r w:rsidRPr="00DA23E4">
        <w:rPr>
          <w:rFonts w:ascii="Arial" w:eastAsia="Times New Roman" w:hAnsi="Arial" w:cs="Arial"/>
          <w:sz w:val="24"/>
          <w:szCs w:val="24"/>
          <w:lang w:eastAsia="ar-SA"/>
        </w:rPr>
        <w:t xml:space="preserve"> – jeśli jest to uzasadnione posiadanym już taborem nisko- lub zeroemisyjnym lub realizowanym projektem z zakresu nabycia ww. taboru.</w:t>
      </w:r>
    </w:p>
    <w:p w14:paraId="76967198" w14:textId="77777777" w:rsidR="00D00985" w:rsidRDefault="00D00985" w:rsidP="007B1854">
      <w:pPr>
        <w:pStyle w:val="Akapitzlist"/>
        <w:numPr>
          <w:ilvl w:val="0"/>
          <w:numId w:val="39"/>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budowa, przebudowa infrastruktury do obsługi podróżnych korzystających z publicznego lub zbiorowego transportu miejskiego lub podmiejskiego lub aglomeracyjnego transportu kolejowego</w:t>
      </w:r>
      <w:r w:rsidRPr="00DA23E4">
        <w:rPr>
          <w:rFonts w:ascii="Arial" w:eastAsia="Times New Roman" w:hAnsi="Arial" w:cs="Arial"/>
          <w:sz w:val="24"/>
          <w:szCs w:val="24"/>
          <w:lang w:eastAsia="ar-SA"/>
        </w:rPr>
        <w:t xml:space="preserve"> (np. centra i węzły przesiadkowe, dworce, parkingi typu „parkuj i jedź”, przystanki służące transportowi zbiorowemu, w połączeniu z elementami niezbędnymi dla ich pełnej funkcjonalności,</w:t>
      </w:r>
      <w:r>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budową chodników służących poprawie bezpieczeństwa osób korzystających z przystanków transportu zbiorowego).</w:t>
      </w:r>
    </w:p>
    <w:p w14:paraId="0490C98F" w14:textId="77777777" w:rsidR="00D00985" w:rsidRDefault="00D00985" w:rsidP="007B1854">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W przypadku obiektów typu „parkuj i jedź” wsparcie będzie możliwe pod warunkiem ich lokalizacji w miejscach, w których zapewniona jest odpowiednia integracja ze zbiorowym transportem publicznym. W miastach powyżej 50 tys. mieszkańców wsparcie dla tych obiektów będzie możliwe pod warunkiem ich zlokalizowania poza obszarem zabudowy śródmiejskiej, wyznaczonym w MPZP, a w przypadku jego braku, w studium uwarunkowań i kierunków zagospodarowania przestrzennego gminy lub w planie ogólnym gminy.</w:t>
      </w:r>
    </w:p>
    <w:p w14:paraId="419137CF" w14:textId="77777777" w:rsidR="00D00985" w:rsidRPr="00295D06" w:rsidRDefault="00D00985" w:rsidP="007B1854">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W ramach parkingów P&amp;R konieczne jest zapewnienie miejsc parkingowych dla rowerów oraz obowiązkowe jest zapewnienie punktu / punktów ładowania pojazdów elektrycznych.</w:t>
      </w:r>
    </w:p>
    <w:p w14:paraId="7B16D743" w14:textId="77777777" w:rsidR="00D00985" w:rsidRPr="00DA23E4" w:rsidRDefault="00D00985" w:rsidP="007B1854">
      <w:pPr>
        <w:pStyle w:val="Akapitzlist"/>
        <w:numPr>
          <w:ilvl w:val="0"/>
          <w:numId w:val="39"/>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rozwiązania dotyczące organizacji ruchu ułatwiające sprawne i bezpieczne poruszanie się pojazdami komunikacji publicznej lub zbiorowej</w:t>
      </w:r>
      <w:r>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wydzielone pasy ruchu dla autobusów; budowa/przebudowa skrzyżowań w celu ułatwienia lub nadania priorytetu transportowi publicznemu lub zbiorowemu w ruchu, np. pasy skrętów dla autobusów, śluzy na skrzyżowaniach; infrastruktura drogowa przy pętlach tramwajowych/ autobusowych, stacjach kolejowych lub obiektach typu „parkuj i jedź” wraz z odcinkami dróg łączących je bezpośrednio z drogami miejskimi; wyposażenie dróg i ulic w niezbędne obiekty i urządzenia drogowe służące bezpieczeństwu ruchu pojazdów transportu publicznego).</w:t>
      </w:r>
    </w:p>
    <w:p w14:paraId="364D2817" w14:textId="77777777" w:rsidR="00D00985" w:rsidRDefault="00D00985" w:rsidP="007B1854">
      <w:pPr>
        <w:pStyle w:val="Akapitzlist"/>
        <w:numPr>
          <w:ilvl w:val="0"/>
          <w:numId w:val="39"/>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budowa, przebudowa, rozbudowa infrastruktury zrównoważonej mobilności miejskiej, w tym dla ruchu pieszego i rowerowego</w:t>
      </w:r>
      <w:r w:rsidRPr="00DA23E4">
        <w:rPr>
          <w:rFonts w:ascii="Arial" w:eastAsia="Times New Roman" w:hAnsi="Arial" w:cs="Arial"/>
          <w:sz w:val="24"/>
          <w:szCs w:val="24"/>
          <w:lang w:eastAsia="ar-SA"/>
        </w:rPr>
        <w:t xml:space="preserve">. </w:t>
      </w:r>
    </w:p>
    <w:p w14:paraId="4907D2D8" w14:textId="77777777" w:rsidR="00D00985" w:rsidRDefault="00D00985" w:rsidP="007B1854">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Projekt dotyczący infrastruktury na potrzeby transportu rowerowego może dotyczyć tylko ścieżek realizowanych zgodnie z projektowaną lub istniejącą funkcjonalną siecią ścieżek rowerowych na terenie gminy / gmin, których dotyczy projekt, stanowiącą alternatywę dla zdefiniowanych lub istniejących potrzeb transportowych/komunikacyjnych.</w:t>
      </w:r>
    </w:p>
    <w:p w14:paraId="4C30962A" w14:textId="77777777" w:rsidR="00D00985" w:rsidRPr="00295D06" w:rsidRDefault="00D00985" w:rsidP="007B1854">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lastRenderedPageBreak/>
        <w:t>Możliwa jest:</w:t>
      </w:r>
    </w:p>
    <w:p w14:paraId="7EFDA019" w14:textId="77777777" w:rsidR="00D00985" w:rsidRDefault="00D00985" w:rsidP="007B1854">
      <w:pPr>
        <w:pStyle w:val="Akapitzlist"/>
        <w:numPr>
          <w:ilvl w:val="0"/>
          <w:numId w:val="42"/>
        </w:numPr>
        <w:tabs>
          <w:tab w:val="left" w:pos="1134"/>
        </w:tabs>
        <w:spacing w:after="120" w:line="276" w:lineRule="auto"/>
        <w:ind w:left="1134" w:hanging="425"/>
        <w:contextualSpacing w:val="0"/>
        <w:rPr>
          <w:rFonts w:ascii="Arial" w:eastAsia="Times New Roman" w:hAnsi="Arial" w:cs="Arial"/>
          <w:sz w:val="24"/>
          <w:szCs w:val="24"/>
          <w:lang w:eastAsia="ar-SA"/>
        </w:rPr>
      </w:pPr>
      <w:r w:rsidRPr="006A2322">
        <w:rPr>
          <w:rFonts w:ascii="Arial" w:eastAsia="Times New Roman" w:hAnsi="Arial" w:cs="Arial"/>
          <w:sz w:val="24"/>
          <w:szCs w:val="24"/>
          <w:lang w:eastAsia="ar-SA"/>
        </w:rPr>
        <w:t>budowa, przebudowa, wyznaczanie dróg/tras/ścieżek rowerowych/ ciągów pieszo-rowerowych w</w:t>
      </w:r>
      <w:r>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ramach zintegrowanej sieci dróg/tras/ścieżek rowerowych / ciągów pieszo-rowerowych oraz wyznaczanie pasów</w:t>
      </w:r>
      <w:r>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ruchu dla rowerów lub śluz dla rowerów w mieście i jego obszarze funkcjonalnym (pasy ruchu dla rowerów i śluzy</w:t>
      </w:r>
      <w:r>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dla rowe</w:t>
      </w:r>
      <w:r>
        <w:rPr>
          <w:rFonts w:ascii="Arial" w:eastAsia="Times New Roman" w:hAnsi="Arial" w:cs="Arial"/>
          <w:sz w:val="24"/>
          <w:szCs w:val="24"/>
          <w:lang w:eastAsia="ar-SA"/>
        </w:rPr>
        <w:t>rów wyłącznie na terenie miast),</w:t>
      </w:r>
    </w:p>
    <w:p w14:paraId="62F3CCED" w14:textId="77777777" w:rsidR="00D00985" w:rsidRDefault="00D00985" w:rsidP="007B1854">
      <w:pPr>
        <w:pStyle w:val="Akapitzlist"/>
        <w:numPr>
          <w:ilvl w:val="0"/>
          <w:numId w:val="42"/>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inwestycje obejmujące p</w:t>
      </w:r>
      <w:r w:rsidRPr="003A4AC1">
        <w:rPr>
          <w:rFonts w:ascii="Arial" w:eastAsia="Times New Roman" w:hAnsi="Arial" w:cs="Arial"/>
          <w:sz w:val="24"/>
          <w:szCs w:val="24"/>
          <w:lang w:eastAsia="ar-SA"/>
        </w:rPr>
        <w:t>ubliczne</w:t>
      </w:r>
      <w:r w:rsidRPr="006A2322">
        <w:rPr>
          <w:rFonts w:ascii="Arial" w:eastAsia="Times New Roman" w:hAnsi="Arial" w:cs="Arial"/>
          <w:sz w:val="24"/>
          <w:szCs w:val="24"/>
          <w:lang w:eastAsia="ar-SA"/>
        </w:rPr>
        <w:t xml:space="preserve"> parkingi rowerowe, stojaki, wiaty rowerowe, stacje</w:t>
      </w:r>
      <w:r>
        <w:rPr>
          <w:rFonts w:ascii="Arial" w:eastAsia="Times New Roman" w:hAnsi="Arial" w:cs="Arial"/>
          <w:sz w:val="24"/>
          <w:szCs w:val="24"/>
          <w:lang w:eastAsia="ar-SA"/>
        </w:rPr>
        <w:t xml:space="preserve"> samoobsługowej naprawy rowerów, </w:t>
      </w:r>
    </w:p>
    <w:p w14:paraId="3E098507" w14:textId="77777777" w:rsidR="00D00985" w:rsidRDefault="00D00985" w:rsidP="007B1854">
      <w:pPr>
        <w:pStyle w:val="Akapitzlist"/>
        <w:numPr>
          <w:ilvl w:val="0"/>
          <w:numId w:val="42"/>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w:t>
      </w:r>
      <w:r w:rsidRPr="006E5D40">
        <w:rPr>
          <w:rFonts w:ascii="Arial" w:eastAsia="Times New Roman" w:hAnsi="Arial" w:cs="Arial"/>
          <w:sz w:val="24"/>
          <w:szCs w:val="24"/>
          <w:lang w:eastAsia="ar-SA"/>
        </w:rPr>
        <w:t xml:space="preserve">nwestycje obejmujące </w:t>
      </w:r>
      <w:r>
        <w:rPr>
          <w:rFonts w:ascii="Arial" w:eastAsia="Times New Roman" w:hAnsi="Arial" w:cs="Arial"/>
          <w:sz w:val="24"/>
          <w:szCs w:val="24"/>
          <w:lang w:eastAsia="ar-SA"/>
        </w:rPr>
        <w:t>k</w:t>
      </w:r>
      <w:r w:rsidRPr="006A2322">
        <w:rPr>
          <w:rFonts w:ascii="Arial" w:eastAsia="Times New Roman" w:hAnsi="Arial" w:cs="Arial"/>
          <w:sz w:val="24"/>
          <w:szCs w:val="24"/>
          <w:lang w:eastAsia="ar-SA"/>
        </w:rPr>
        <w:t>ładki rowerowe i pieszo-rowerowe zlokalizowane w ciągach dróg / tras / ścieżek rowerowych</w:t>
      </w:r>
      <w:r>
        <w:rPr>
          <w:rFonts w:ascii="Arial" w:eastAsia="Times New Roman" w:hAnsi="Arial" w:cs="Arial"/>
          <w:sz w:val="24"/>
          <w:szCs w:val="24"/>
          <w:lang w:eastAsia="ar-SA"/>
        </w:rPr>
        <w:t>.</w:t>
      </w:r>
    </w:p>
    <w:p w14:paraId="0E412AB9" w14:textId="77777777" w:rsidR="00D00985" w:rsidRPr="006E5D40" w:rsidRDefault="00D00985" w:rsidP="007B1854">
      <w:pPr>
        <w:pStyle w:val="Akapitzlist"/>
        <w:numPr>
          <w:ilvl w:val="0"/>
          <w:numId w:val="39"/>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integracja usług transportowych, w tym cyfryzacja</w:t>
      </w:r>
      <w:r w:rsidRPr="006E5D40">
        <w:rPr>
          <w:rFonts w:ascii="Arial" w:eastAsia="Times New Roman" w:hAnsi="Arial" w:cs="Arial"/>
          <w:sz w:val="24"/>
          <w:szCs w:val="24"/>
          <w:lang w:eastAsia="ar-SA"/>
        </w:rPr>
        <w:t>, tj.:</w:t>
      </w:r>
    </w:p>
    <w:p w14:paraId="7510B220" w14:textId="77777777" w:rsidR="00D00985" w:rsidRPr="006E5D40" w:rsidRDefault="00D00985" w:rsidP="007B1854">
      <w:pPr>
        <w:pStyle w:val="Akapitzlist"/>
        <w:numPr>
          <w:ilvl w:val="0"/>
          <w:numId w:val="40"/>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systemy wspólnych opłat za przewozy, wyłącznie pod warunkiem przystąpienia do systemu Małopolskiej Karty Aglomeracyjnej (MKA) – system musi być kompatybilny z MKA,</w:t>
      </w:r>
    </w:p>
    <w:p w14:paraId="1C8E7B4D" w14:textId="77777777" w:rsidR="00D00985" w:rsidRPr="006E5D40" w:rsidRDefault="00D00985" w:rsidP="007B1854">
      <w:pPr>
        <w:pStyle w:val="Akapitzlist"/>
        <w:numPr>
          <w:ilvl w:val="0"/>
          <w:numId w:val="40"/>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organizacja i koordynacja rozkładu jazdy, w tym uruchomienie kompleksowej i interaktywnej informacji pasażerskiej,</w:t>
      </w:r>
    </w:p>
    <w:p w14:paraId="211CEE40" w14:textId="77777777" w:rsidR="00D00985" w:rsidRPr="006E5D40" w:rsidRDefault="00D00985" w:rsidP="007B1854">
      <w:pPr>
        <w:pStyle w:val="Akapitzlist"/>
        <w:numPr>
          <w:ilvl w:val="0"/>
          <w:numId w:val="40"/>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tworzenie lub rozbudowa systemów zarządzania ruchem (ITS) przyczyniających się do dekarbonizacji transportu i promujących zrównoważoną mobilność, w tym: systemów zarządzania flotą, systemów biletu elektronicznego, systemów dynamicznej informacji pasażerskiej, tworzenie / rozbudowa systemów koordynacji / integracji różnych środków transportu (w tym koncepcja „mobilność jako usługa”),</w:t>
      </w:r>
    </w:p>
    <w:p w14:paraId="6DECC658" w14:textId="77777777" w:rsidR="00D00985" w:rsidRPr="006E5D40" w:rsidRDefault="00D00985" w:rsidP="007B1854">
      <w:pPr>
        <w:pStyle w:val="Akapitzlist"/>
        <w:numPr>
          <w:ilvl w:val="0"/>
          <w:numId w:val="40"/>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wyposażenie dróg i ulic w niezbędne obiekty i urządzenia drogowe służące bezpieczeństwu ruchu pojazdów transportu publicznego.</w:t>
      </w:r>
    </w:p>
    <w:p w14:paraId="2F82078B" w14:textId="77777777" w:rsidR="00D00985" w:rsidRPr="006E5D40" w:rsidRDefault="00D00985" w:rsidP="007B1854">
      <w:pPr>
        <w:pStyle w:val="Akapitzlist"/>
        <w:numPr>
          <w:ilvl w:val="0"/>
          <w:numId w:val="39"/>
        </w:numPr>
        <w:spacing w:after="120" w:line="276" w:lineRule="auto"/>
        <w:ind w:left="641" w:hanging="357"/>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tworzenie ogólnodostępnej infrastruktury obsługi i ładowania / tankowania pojazdów  zeroemisyjnych w transporcie indywidualnym</w:t>
      </w:r>
      <w:r w:rsidRPr="006E5D40">
        <w:rPr>
          <w:rFonts w:ascii="Arial" w:eastAsia="Times New Roman" w:hAnsi="Arial" w:cs="Arial"/>
          <w:sz w:val="24"/>
          <w:szCs w:val="24"/>
          <w:lang w:eastAsia="ar-SA"/>
        </w:rPr>
        <w:t>, spełniającej wymogi Dyrektywy 2014/94/UE oraz zapewniającej niedyskryminujący dostęp dla wszystkich użytkowników (stacje ładowania pojazdów elektrycznych, stacje tankowania paliw alternatywnych – z wyłączeniem inwestycji związanych z infrastrukturą dystrybucji paliw kopalnych).</w:t>
      </w:r>
    </w:p>
    <w:p w14:paraId="2A6836CA" w14:textId="77777777" w:rsidR="00D00985" w:rsidRPr="006E5D40" w:rsidRDefault="00D00985" w:rsidP="007B1854">
      <w:pPr>
        <w:pStyle w:val="Akapitzlist"/>
        <w:numPr>
          <w:ilvl w:val="0"/>
          <w:numId w:val="39"/>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 xml:space="preserve">wsparcie mogą uzyskać również przedsięwzięcia dotyczące:  </w:t>
      </w:r>
    </w:p>
    <w:p w14:paraId="7B0AAE4F" w14:textId="77777777" w:rsidR="00D00985" w:rsidRDefault="00D00985" w:rsidP="007B1854">
      <w:pPr>
        <w:pStyle w:val="Akapitzlist"/>
        <w:numPr>
          <w:ilvl w:val="0"/>
          <w:numId w:val="41"/>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systemów miejskich wypożyczalni rowerów, stacji i systemu informatycznego do obsługi wypożyczeń,</w:t>
      </w:r>
    </w:p>
    <w:p w14:paraId="63CDFF1D" w14:textId="77777777" w:rsidR="00D00985" w:rsidRPr="009D2C6B" w:rsidRDefault="00D00985" w:rsidP="007B1854">
      <w:pPr>
        <w:pStyle w:val="Akapitzlist"/>
        <w:numPr>
          <w:ilvl w:val="0"/>
          <w:numId w:val="41"/>
        </w:numPr>
        <w:spacing w:after="120" w:line="276" w:lineRule="auto"/>
        <w:ind w:left="1134" w:hanging="425"/>
        <w:contextualSpacing w:val="0"/>
        <w:rPr>
          <w:rFonts w:ascii="Arial" w:eastAsia="Times New Roman" w:hAnsi="Arial" w:cs="Arial"/>
          <w:sz w:val="24"/>
          <w:szCs w:val="24"/>
          <w:lang w:eastAsia="ar-SA"/>
        </w:rPr>
      </w:pPr>
      <w:r w:rsidRPr="009D2C6B">
        <w:rPr>
          <w:rFonts w:ascii="Arial" w:eastAsia="Times New Roman" w:hAnsi="Arial" w:cs="Arial"/>
          <w:sz w:val="24"/>
          <w:szCs w:val="24"/>
          <w:lang w:eastAsia="ar-SA"/>
        </w:rPr>
        <w:t xml:space="preserve">innych rozwiązań z zakresu ograniczania indywidualnego ruchu zmotoryzowanego, jak np. przejścia dla pieszych, azyle dla pieszych; rozwiązania na rzecz poruszania się alternatywnymi środkami transportu (infrastruktura i rozwiązania cyfrowe wykorzystywane przez hulajnogi </w:t>
      </w:r>
      <w:r w:rsidRPr="009D2C6B">
        <w:rPr>
          <w:rFonts w:ascii="Arial" w:eastAsia="Times New Roman" w:hAnsi="Arial" w:cs="Arial"/>
          <w:sz w:val="24"/>
          <w:szCs w:val="24"/>
          <w:lang w:eastAsia="ar-SA"/>
        </w:rPr>
        <w:lastRenderedPageBreak/>
        <w:t>elektryczne, urządzenia transportu osobistego, urządzenia wspomagające ruch bezemisyjny).</w:t>
      </w:r>
    </w:p>
    <w:p w14:paraId="70C0E375" w14:textId="77777777" w:rsidR="00D00985" w:rsidRPr="006E5D40" w:rsidRDefault="00D00985" w:rsidP="007B1854">
      <w:pPr>
        <w:pStyle w:val="Akapitzlist"/>
        <w:numPr>
          <w:ilvl w:val="0"/>
          <w:numId w:val="41"/>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inwestycji i rozwiązań umożliwiających wdrożenie strefy ograniczonej emisji komunikacyjnej.</w:t>
      </w:r>
    </w:p>
    <w:p w14:paraId="32E2FD3C" w14:textId="77777777" w:rsidR="00D00985" w:rsidRPr="006E5D40" w:rsidRDefault="00D00985" w:rsidP="007B1854">
      <w:pPr>
        <w:spacing w:after="120" w:line="276" w:lineRule="auto"/>
        <w:ind w:left="284"/>
        <w:rPr>
          <w:rFonts w:ascii="Arial" w:eastAsia="Times New Roman" w:hAnsi="Arial" w:cs="Arial"/>
          <w:b/>
          <w:sz w:val="24"/>
          <w:szCs w:val="24"/>
          <w:lang w:eastAsia="ar-SA"/>
        </w:rPr>
      </w:pPr>
      <w:r w:rsidRPr="006E5D40">
        <w:rPr>
          <w:rFonts w:ascii="Arial" w:eastAsia="Times New Roman" w:hAnsi="Arial" w:cs="Arial"/>
          <w:b/>
          <w:sz w:val="24"/>
          <w:szCs w:val="24"/>
          <w:lang w:eastAsia="ar-SA"/>
        </w:rPr>
        <w:t>Dodatkowo elementem projektu może być:</w:t>
      </w:r>
    </w:p>
    <w:p w14:paraId="4919B8D8" w14:textId="424B9BAA" w:rsidR="00D00985" w:rsidRPr="000A2F54" w:rsidRDefault="00D00985" w:rsidP="007B1854">
      <w:pPr>
        <w:numPr>
          <w:ilvl w:val="0"/>
          <w:numId w:val="36"/>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jako uzupełniający i niedominujący</w:t>
      </w:r>
      <w:r>
        <w:rPr>
          <w:rStyle w:val="Odwoanieprzypisudolnego"/>
          <w:rFonts w:ascii="Arial" w:eastAsia="Times New Roman" w:hAnsi="Arial" w:cs="Arial"/>
          <w:sz w:val="24"/>
          <w:szCs w:val="24"/>
          <w:lang w:eastAsia="ar-SA"/>
        </w:rPr>
        <w:footnoteReference w:id="1"/>
      </w:r>
      <w:r w:rsidRPr="000A2F54">
        <w:rPr>
          <w:rFonts w:ascii="Arial" w:eastAsia="Times New Roman" w:hAnsi="Arial" w:cs="Arial"/>
          <w:sz w:val="24"/>
          <w:szCs w:val="24"/>
          <w:lang w:eastAsia="ar-SA"/>
        </w:rPr>
        <w:t xml:space="preserve"> element, przedsięwzięcie z zakresu modernizacji oświetlenia ulicznego pod kątem zwiększenia jego energooszczędności, przy spełnieniu wymagań technicznych dotyczących oświetlenia dróg zawartych we właściwych normach dotyczących oświetlenia drogowego</w:t>
      </w:r>
      <w:r w:rsidR="00D730C4">
        <w:rPr>
          <w:rFonts w:ascii="Arial" w:eastAsia="Times New Roman" w:hAnsi="Arial" w:cs="Arial"/>
          <w:sz w:val="24"/>
          <w:szCs w:val="24"/>
          <w:lang w:eastAsia="ar-SA"/>
        </w:rPr>
        <w:t xml:space="preserve"> (konieczne jest wykazanie logicznego powiązania z podstawowym zakresem projektu)</w:t>
      </w:r>
      <w:r>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7AD50C55" w14:textId="77777777" w:rsidR="00D00985" w:rsidRPr="00295D06" w:rsidRDefault="00D00985" w:rsidP="007B1854">
      <w:pPr>
        <w:numPr>
          <w:ilvl w:val="0"/>
          <w:numId w:val="36"/>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komponent z zakresu edukacji ekologicznej, którego celem jest promowanie  korzystania z komunikacji zbiorowej, rowerowej lub ruchu pieszego, jako alternatywy dla pojazdów indywidualnych.</w:t>
      </w:r>
    </w:p>
    <w:p w14:paraId="5A471F39" w14:textId="77777777" w:rsidR="00D00985" w:rsidRPr="00295D06" w:rsidRDefault="00D00985" w:rsidP="007B1854">
      <w:pPr>
        <w:pStyle w:val="Akapitzlist"/>
        <w:numPr>
          <w:ilvl w:val="0"/>
          <w:numId w:val="43"/>
        </w:numPr>
        <w:spacing w:after="120" w:line="276" w:lineRule="auto"/>
        <w:contextualSpacing w:val="0"/>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B. Plany Zrównoważonej Mobilności Miejskiej</w:t>
      </w:r>
    </w:p>
    <w:p w14:paraId="7585C1C5" w14:textId="25D48813" w:rsidR="00D00985" w:rsidRDefault="00D00985" w:rsidP="007B1854">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Wsparciem objęta będzie realizacja działań związanych z przygotowaniem lub aktualizacją Planów Zrównoważonej Mobilności Miejskiej (ang. SUMP) </w:t>
      </w:r>
      <w:r w:rsidR="004669BB">
        <w:rPr>
          <w:rFonts w:ascii="Arial" w:eastAsia="Times New Roman" w:hAnsi="Arial" w:cs="Arial"/>
          <w:bCs/>
          <w:iCs/>
          <w:sz w:val="24"/>
          <w:szCs w:val="24"/>
          <w:lang w:eastAsia="ar-SA"/>
        </w:rPr>
        <w:t>zgodnych z</w:t>
      </w:r>
      <w:r w:rsidRPr="000A2F54">
        <w:rPr>
          <w:rFonts w:ascii="Arial" w:eastAsia="Times New Roman" w:hAnsi="Arial" w:cs="Arial"/>
          <w:bCs/>
          <w:iCs/>
          <w:sz w:val="24"/>
          <w:szCs w:val="24"/>
          <w:lang w:eastAsia="ar-SA"/>
        </w:rPr>
        <w:t xml:space="preserve"> komunikatem KE z 17.12.2013 r. </w:t>
      </w:r>
      <w:r w:rsidRPr="000A2F54">
        <w:rPr>
          <w:rFonts w:ascii="Arial" w:eastAsia="Times New Roman" w:hAnsi="Arial" w:cs="Arial"/>
          <w:sz w:val="24"/>
          <w:szCs w:val="24"/>
          <w:lang w:eastAsia="ar-SA"/>
        </w:rPr>
        <w:t>„Wspólne dążenie do osiągnięcia konkurencyjnej i zasobooszczędnej mobilności” COM (2013) 913 final”</w:t>
      </w:r>
      <w:r w:rsidRPr="000A2F54">
        <w:rPr>
          <w:rFonts w:ascii="Arial" w:eastAsia="Times New Roman" w:hAnsi="Arial" w:cs="Arial"/>
          <w:bCs/>
          <w:iCs/>
          <w:sz w:val="24"/>
          <w:szCs w:val="24"/>
          <w:lang w:eastAsia="ar-SA"/>
        </w:rPr>
        <w:t xml:space="preserve"> oraz przygotowanymi dla KE „Wytycznymi. Opracowanie i wdrażanie planów zrównoważonej mobilności miejskiej” </w:t>
      </w:r>
      <w:r w:rsidRPr="000A2F54">
        <w:rPr>
          <w:rFonts w:ascii="Arial" w:eastAsia="Times New Roman" w:hAnsi="Arial" w:cs="Arial"/>
          <w:sz w:val="24"/>
          <w:szCs w:val="24"/>
          <w:lang w:val="pl" w:eastAsia="ar-SA"/>
        </w:rPr>
        <w:t>i wdrażanych przez odpowiednie organy gmin lub ich</w:t>
      </w:r>
      <w:r>
        <w:rPr>
          <w:rFonts w:ascii="Arial" w:eastAsia="Times New Roman" w:hAnsi="Arial" w:cs="Arial"/>
          <w:sz w:val="24"/>
          <w:szCs w:val="24"/>
          <w:lang w:val="pl" w:eastAsia="ar-SA"/>
        </w:rPr>
        <w:t xml:space="preserve"> </w:t>
      </w:r>
      <w:r w:rsidRPr="000A2F54">
        <w:rPr>
          <w:rFonts w:ascii="Arial" w:eastAsia="Times New Roman" w:hAnsi="Arial" w:cs="Arial"/>
          <w:sz w:val="24"/>
          <w:szCs w:val="24"/>
          <w:lang w:val="pl" w:eastAsia="ar-SA"/>
        </w:rPr>
        <w:t>związki lub stowarzyszenia albo inne formy współd</w:t>
      </w:r>
      <w:r>
        <w:rPr>
          <w:rFonts w:ascii="Arial" w:eastAsia="Times New Roman" w:hAnsi="Arial" w:cs="Arial"/>
          <w:sz w:val="24"/>
          <w:szCs w:val="24"/>
          <w:lang w:val="pl" w:eastAsia="ar-SA"/>
        </w:rPr>
        <w:t>ziałania gmin</w:t>
      </w:r>
      <w:r w:rsidRPr="000A2F54">
        <w:rPr>
          <w:rFonts w:ascii="Arial" w:eastAsia="Times New Roman" w:hAnsi="Arial" w:cs="Arial"/>
          <w:sz w:val="24"/>
          <w:szCs w:val="24"/>
          <w:lang w:val="pl" w:eastAsia="ar-SA"/>
        </w:rPr>
        <w:t xml:space="preserve">. </w:t>
      </w:r>
    </w:p>
    <w:p w14:paraId="27678A45" w14:textId="77777777" w:rsidR="00D00985" w:rsidRDefault="00D00985" w:rsidP="007B1854">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SUMP musi uzyskać pozytywną ocenę Zespołu oceniającego powołanego w </w:t>
      </w:r>
      <w:r>
        <w:rPr>
          <w:rFonts w:ascii="Arial" w:eastAsia="Times New Roman" w:hAnsi="Arial" w:cs="Arial"/>
          <w:sz w:val="24"/>
          <w:szCs w:val="24"/>
          <w:lang w:val="pl" w:eastAsia="ar-SA"/>
        </w:rPr>
        <w:t>Centrum Unijnych Projektów Transportowych (</w:t>
      </w:r>
      <w:r w:rsidRPr="000A2F54">
        <w:rPr>
          <w:rFonts w:ascii="Arial" w:eastAsia="Times New Roman" w:hAnsi="Arial" w:cs="Arial"/>
          <w:sz w:val="24"/>
          <w:szCs w:val="24"/>
          <w:lang w:val="pl" w:eastAsia="ar-SA"/>
        </w:rPr>
        <w:t>CUPT</w:t>
      </w:r>
      <w:r>
        <w:rPr>
          <w:rFonts w:ascii="Arial" w:eastAsia="Times New Roman" w:hAnsi="Arial" w:cs="Arial"/>
          <w:sz w:val="24"/>
          <w:szCs w:val="24"/>
          <w:lang w:val="pl" w:eastAsia="ar-SA"/>
        </w:rPr>
        <w:t>)</w:t>
      </w:r>
      <w:r w:rsidRPr="000A2F54">
        <w:rPr>
          <w:rFonts w:ascii="Arial" w:eastAsia="Times New Roman" w:hAnsi="Arial" w:cs="Arial"/>
          <w:sz w:val="24"/>
          <w:szCs w:val="24"/>
          <w:lang w:val="pl" w:eastAsia="ar-SA"/>
        </w:rPr>
        <w:t>.</w:t>
      </w:r>
    </w:p>
    <w:p w14:paraId="4A303B87" w14:textId="77777777" w:rsidR="00D00985" w:rsidRDefault="00D00985" w:rsidP="007B1854">
      <w:pPr>
        <w:spacing w:after="120" w:line="276" w:lineRule="auto"/>
        <w:ind w:left="426"/>
        <w:rPr>
          <w:rFonts w:ascii="Arial" w:eastAsia="Times New Roman" w:hAnsi="Arial" w:cs="Arial"/>
          <w:sz w:val="24"/>
          <w:szCs w:val="24"/>
          <w:lang w:eastAsia="ar-SA"/>
        </w:rPr>
      </w:pPr>
      <w:r>
        <w:rPr>
          <w:rFonts w:ascii="Arial" w:eastAsia="Times New Roman" w:hAnsi="Arial" w:cs="Arial"/>
          <w:sz w:val="24"/>
          <w:szCs w:val="24"/>
          <w:lang w:eastAsia="ar-SA"/>
        </w:rPr>
        <w:t>Beneficjentem typu projektu B</w:t>
      </w:r>
      <w:r w:rsidRPr="000A2F54">
        <w:rPr>
          <w:rFonts w:ascii="Arial" w:eastAsia="Times New Roman" w:hAnsi="Arial" w:cs="Arial"/>
          <w:sz w:val="24"/>
          <w:szCs w:val="24"/>
          <w:lang w:eastAsia="ar-SA"/>
        </w:rPr>
        <w:t xml:space="preserve"> mogą być wyłącznie stowarzyszenia ZIT.</w:t>
      </w:r>
    </w:p>
    <w:p w14:paraId="3768884E" w14:textId="77777777" w:rsidR="00D00985" w:rsidRPr="00295D06" w:rsidRDefault="00D00985" w:rsidP="007B1854">
      <w:pPr>
        <w:pStyle w:val="Akapitzlist"/>
        <w:numPr>
          <w:ilvl w:val="0"/>
          <w:numId w:val="43"/>
        </w:numPr>
        <w:spacing w:after="120" w:line="276" w:lineRule="auto"/>
        <w:contextualSpacing w:val="0"/>
        <w:rPr>
          <w:rFonts w:ascii="Arial" w:eastAsia="Times New Roman" w:hAnsi="Arial" w:cs="Arial"/>
          <w:b/>
          <w:sz w:val="24"/>
          <w:szCs w:val="24"/>
          <w:lang w:eastAsia="ar-SA"/>
        </w:rPr>
      </w:pPr>
      <w:r w:rsidRPr="00295D06">
        <w:rPr>
          <w:rFonts w:ascii="Arial" w:eastAsia="Times New Roman" w:hAnsi="Arial" w:cs="Arial"/>
          <w:b/>
          <w:sz w:val="24"/>
          <w:szCs w:val="24"/>
          <w:lang w:eastAsia="ar-SA"/>
        </w:rPr>
        <w:t xml:space="preserve">W ramach Działania zastosowanie będą mieć następujące zasady: </w:t>
      </w:r>
    </w:p>
    <w:p w14:paraId="4041DF25" w14:textId="77777777" w:rsidR="00D00985" w:rsidRDefault="00D00985" w:rsidP="007B1854">
      <w:pPr>
        <w:numPr>
          <w:ilvl w:val="0"/>
          <w:numId w:val="37"/>
        </w:numPr>
        <w:spacing w:after="120" w:line="276" w:lineRule="auto"/>
        <w:ind w:left="709" w:hanging="283"/>
        <w:rPr>
          <w:rFonts w:ascii="Arial" w:eastAsia="Times New Roman" w:hAnsi="Arial" w:cs="Arial"/>
          <w:bCs/>
          <w:iCs/>
          <w:sz w:val="24"/>
          <w:szCs w:val="24"/>
          <w:lang w:eastAsia="ar-SA"/>
        </w:rPr>
      </w:pPr>
      <w:r w:rsidRPr="00C56F70">
        <w:rPr>
          <w:rFonts w:ascii="Arial" w:eastAsia="Times New Roman" w:hAnsi="Arial" w:cs="Arial"/>
          <w:bCs/>
          <w:iCs/>
          <w:sz w:val="24"/>
          <w:szCs w:val="24"/>
          <w:lang w:eastAsia="ar-SA"/>
        </w:rPr>
        <w:t>inwestycje w zrównoważoną mobilność miejską będą oparte na odpowiednim planowaniu mobilności miejskiej przyjętym na obszarze, w którym realizowana jest inwestycja – zgodnie z właściwymi wymogami Umowy Partnerstwa dla realizacji polityki spójności 2021-2027 w Polsce (UP). W przypadku wymogu przyjęcia SUMP wymóg ten zostanie uznany za spełniony, jeżeli plan spełnia wymagania wskazane w UP oraz w program</w:t>
      </w:r>
      <w:r>
        <w:rPr>
          <w:rFonts w:ascii="Arial" w:eastAsia="Times New Roman" w:hAnsi="Arial" w:cs="Arial"/>
          <w:bCs/>
          <w:iCs/>
          <w:sz w:val="24"/>
          <w:szCs w:val="24"/>
          <w:lang w:eastAsia="ar-SA"/>
        </w:rPr>
        <w:t xml:space="preserve">ie FEM 2021-2027. </w:t>
      </w:r>
    </w:p>
    <w:p w14:paraId="3A1A5ADE" w14:textId="77777777" w:rsidR="00D00985" w:rsidRPr="00327AF4" w:rsidRDefault="00D00985" w:rsidP="007B185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W przypadku, gdy na obszarze na którym realizowany jest projekt, nie jest wymagane przyjęcie SUMP, należy wykazać zgodność projektu z innym dokumentem </w:t>
      </w:r>
      <w:r w:rsidRPr="00327AF4">
        <w:rPr>
          <w:rFonts w:ascii="Arial" w:eastAsia="Times New Roman" w:hAnsi="Arial" w:cs="Arial"/>
          <w:bCs/>
          <w:iCs/>
          <w:sz w:val="24"/>
          <w:szCs w:val="24"/>
          <w:lang w:val="x-none" w:eastAsia="ar-SA"/>
        </w:rPr>
        <w:t>z zakresu planowania transportu miejskiego</w:t>
      </w:r>
      <w:r>
        <w:rPr>
          <w:rFonts w:ascii="Arial" w:eastAsia="Times New Roman" w:hAnsi="Arial" w:cs="Arial"/>
          <w:bCs/>
          <w:iCs/>
          <w:sz w:val="24"/>
          <w:szCs w:val="24"/>
          <w:lang w:eastAsia="ar-SA"/>
        </w:rPr>
        <w:t xml:space="preserve"> – zgodnie ze Specyficznymi warunkami wsparcia, ujętymi w Kryteriach wyboru projektów.</w:t>
      </w:r>
    </w:p>
    <w:p w14:paraId="201CDAFB" w14:textId="77777777" w:rsidR="00D00985" w:rsidRPr="00C56F70" w:rsidRDefault="00D00985" w:rsidP="007B185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Wymóg nie dotyczy typu projektu</w:t>
      </w:r>
      <w:r w:rsidRPr="00C56F70">
        <w:rPr>
          <w:rFonts w:ascii="Arial" w:eastAsia="Times New Roman" w:hAnsi="Arial" w:cs="Arial"/>
          <w:bCs/>
          <w:iCs/>
          <w:sz w:val="24"/>
          <w:szCs w:val="24"/>
          <w:lang w:eastAsia="ar-SA"/>
        </w:rPr>
        <w:t xml:space="preserve"> B.</w:t>
      </w:r>
    </w:p>
    <w:p w14:paraId="0E098AFB" w14:textId="77777777" w:rsidR="00D00985" w:rsidRPr="000A2F54" w:rsidRDefault="00D00985" w:rsidP="007B1854">
      <w:pPr>
        <w:numPr>
          <w:ilvl w:val="0"/>
          <w:numId w:val="37"/>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nabywany tabor, a także budowana, przebudowywana lub rozbudowywana infrastruktura obsługi podróżnych będzie uwzględniać potrzeby osób o ograniczonej mobilności</w:t>
      </w:r>
      <w:r>
        <w:rPr>
          <w:rFonts w:ascii="Arial" w:eastAsia="Times New Roman" w:hAnsi="Arial" w:cs="Arial"/>
          <w:sz w:val="24"/>
          <w:szCs w:val="24"/>
          <w:lang w:eastAsia="ar-SA"/>
        </w:rPr>
        <w:t>.</w:t>
      </w:r>
    </w:p>
    <w:p w14:paraId="1F2570B7" w14:textId="77777777" w:rsidR="00D00985" w:rsidRPr="000A2F54" w:rsidRDefault="00D00985" w:rsidP="007B1854">
      <w:pPr>
        <w:numPr>
          <w:ilvl w:val="0"/>
          <w:numId w:val="37"/>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dopuszcza się uwzględnienie kosztów pośrednich w wysokości równej 0,5% bezpośrednich wyd</w:t>
      </w:r>
      <w:r>
        <w:rPr>
          <w:rFonts w:ascii="Arial" w:eastAsia="Times New Roman" w:hAnsi="Arial" w:cs="Arial"/>
          <w:sz w:val="24"/>
          <w:szCs w:val="24"/>
          <w:lang w:eastAsia="ar-SA"/>
        </w:rPr>
        <w:t>atków kwalifikowalnych projektu.</w:t>
      </w:r>
    </w:p>
    <w:p w14:paraId="7A61D26D" w14:textId="77777777" w:rsidR="00D00985" w:rsidRPr="000A2F54" w:rsidRDefault="00D00985" w:rsidP="007B1854">
      <w:pPr>
        <w:numPr>
          <w:ilvl w:val="0"/>
          <w:numId w:val="37"/>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wsparciem nie będą objęte inwestycje w infrastrukturę drogową wykorzystywaną do ruchu pojazdów samochodowych nie wykorzystywa</w:t>
      </w:r>
      <w:r>
        <w:rPr>
          <w:rFonts w:ascii="Arial" w:eastAsia="Times New Roman" w:hAnsi="Arial" w:cs="Arial"/>
          <w:sz w:val="24"/>
          <w:szCs w:val="24"/>
          <w:lang w:eastAsia="ar-SA"/>
        </w:rPr>
        <w:t xml:space="preserve">nych w transporcie publicznym </w:t>
      </w:r>
      <w:r w:rsidRPr="000A2F54">
        <w:rPr>
          <w:rFonts w:ascii="Arial" w:eastAsia="Times New Roman" w:hAnsi="Arial" w:cs="Arial"/>
          <w:sz w:val="24"/>
          <w:szCs w:val="24"/>
          <w:lang w:eastAsia="ar-SA"/>
        </w:rPr>
        <w:t>lub zbiorowym, z wyjątkiem narzędzi cyfrowych, obiektów „parkuj i jedź” i środków ukierunkowanych na poprawę bezpieczeństwa niechronionych użytkowników dróg (w tym pieszych i rowerzystów)</w:t>
      </w:r>
      <w:r>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15D29769" w14:textId="77777777" w:rsidR="00D00985" w:rsidRPr="000A2F54" w:rsidRDefault="00D00985" w:rsidP="007B1854">
      <w:pPr>
        <w:numPr>
          <w:ilvl w:val="0"/>
          <w:numId w:val="37"/>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dopuszcza się możliwość realizacji prac remontowych w sytuacji, gdy tego typu prace stanowią niezbędny element projektu dla pełnej funkcjonalności inwestycji podstawowej polegającej na budowie, rozbudowie lub przebudowie</w:t>
      </w:r>
      <w:r>
        <w:rPr>
          <w:rFonts w:ascii="Arial" w:eastAsia="Times New Roman" w:hAnsi="Arial" w:cs="Arial"/>
          <w:sz w:val="24"/>
          <w:szCs w:val="24"/>
          <w:lang w:eastAsia="ar-SA"/>
        </w:rPr>
        <w:t>.</w:t>
      </w:r>
    </w:p>
    <w:p w14:paraId="4B075BB4" w14:textId="77777777" w:rsidR="00D00985" w:rsidRDefault="00D00985" w:rsidP="007B1854">
      <w:pPr>
        <w:numPr>
          <w:ilvl w:val="0"/>
          <w:numId w:val="37"/>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beneficjentami mogącymi brać udział w naborach mogą być oprócz podmiotów wskazanych w katalogu beneficjentów również związki i stowarzyszenia</w:t>
      </w:r>
      <w:r w:rsidRPr="00E5638B">
        <w:rPr>
          <w:rFonts w:ascii="Arial" w:eastAsia="Times New Roman" w:hAnsi="Arial" w:cs="Arial"/>
          <w:sz w:val="24"/>
          <w:szCs w:val="24"/>
          <w:lang w:eastAsia="ar-SA"/>
        </w:rPr>
        <w:t xml:space="preserve"> </w:t>
      </w:r>
      <w:r w:rsidRPr="000A2F54">
        <w:rPr>
          <w:rFonts w:ascii="Arial" w:eastAsia="Times New Roman" w:hAnsi="Arial" w:cs="Arial"/>
          <w:sz w:val="24"/>
          <w:szCs w:val="24"/>
          <w:lang w:eastAsia="ar-SA"/>
        </w:rPr>
        <w:t>JST.</w:t>
      </w:r>
    </w:p>
    <w:p w14:paraId="7455E9F2" w14:textId="77777777" w:rsidR="00D00985" w:rsidRDefault="00D00985" w:rsidP="007B1854">
      <w:pPr>
        <w:numPr>
          <w:ilvl w:val="0"/>
          <w:numId w:val="37"/>
        </w:numPr>
        <w:spacing w:after="120" w:line="276" w:lineRule="auto"/>
        <w:ind w:left="709" w:hanging="283"/>
        <w:rPr>
          <w:rFonts w:ascii="Arial" w:eastAsia="Times New Roman" w:hAnsi="Arial" w:cs="Arial"/>
          <w:sz w:val="24"/>
          <w:szCs w:val="24"/>
          <w:lang w:eastAsia="ar-SA"/>
        </w:rPr>
      </w:pPr>
      <w:r w:rsidRPr="00E5638B">
        <w:rPr>
          <w:rFonts w:ascii="Arial" w:eastAsia="Times New Roman" w:hAnsi="Arial" w:cs="Arial"/>
          <w:sz w:val="24"/>
          <w:szCs w:val="24"/>
          <w:lang w:eastAsia="ar-SA"/>
        </w:rPr>
        <w:t>wydatki na oświetlenie uliczne / drogowe stanowią wydatek kwalifikowalny, wyłącznie gdy zadanie polegające na zapewnieniu tego oświetlenia należy do zadań beneficjenta lub w przypadku gdy projekt realizowany jest w porozumieniu, zadanie polegające na zapewnieniu tego oświetlenia należy do uczestnika porozumienia</w:t>
      </w:r>
      <w:r>
        <w:rPr>
          <w:rFonts w:ascii="Arial" w:eastAsia="Times New Roman" w:hAnsi="Arial" w:cs="Arial"/>
          <w:sz w:val="24"/>
          <w:szCs w:val="24"/>
          <w:lang w:eastAsia="ar-SA"/>
        </w:rPr>
        <w:t>.</w:t>
      </w:r>
    </w:p>
    <w:p w14:paraId="1EFCD5CA" w14:textId="77777777" w:rsidR="00D00985" w:rsidRDefault="00D00985" w:rsidP="007B1854">
      <w:pPr>
        <w:pStyle w:val="Akapitzlist"/>
        <w:numPr>
          <w:ilvl w:val="0"/>
          <w:numId w:val="43"/>
        </w:numPr>
        <w:spacing w:after="120" w:line="276" w:lineRule="auto"/>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4A25702" w14:textId="77777777" w:rsidR="00D00985" w:rsidRDefault="00D00985" w:rsidP="007B1854">
      <w:pPr>
        <w:pStyle w:val="Akapitzlist"/>
        <w:spacing w:after="120" w:line="276" w:lineRule="auto"/>
        <w:ind w:left="360"/>
        <w:contextualSpacing w:val="0"/>
        <w:rPr>
          <w:rFonts w:ascii="Arial" w:eastAsia="Times New Roman" w:hAnsi="Arial" w:cs="Arial"/>
          <w:sz w:val="24"/>
          <w:szCs w:val="24"/>
          <w:lang w:eastAsia="ar-SA"/>
        </w:rPr>
      </w:pPr>
      <w:r w:rsidRPr="003F78EF">
        <w:rPr>
          <w:rFonts w:ascii="Arial" w:eastAsia="Times New Roman" w:hAnsi="Arial" w:cs="Arial"/>
          <w:bCs/>
          <w:sz w:val="24"/>
          <w:szCs w:val="24"/>
          <w:lang w:eastAsia="ar-SA"/>
        </w:rPr>
        <w:t xml:space="preserve">IZ dopuszcza możliwość, aby w ramach projektów w działaniu </w:t>
      </w:r>
      <w:r>
        <w:rPr>
          <w:rFonts w:ascii="Arial" w:eastAsia="Times New Roman" w:hAnsi="Arial" w:cs="Arial"/>
          <w:bCs/>
          <w:sz w:val="24"/>
          <w:szCs w:val="24"/>
          <w:lang w:eastAsia="ar-SA"/>
        </w:rPr>
        <w:t>3.1</w:t>
      </w:r>
      <w:r w:rsidRPr="003F78EF">
        <w:rPr>
          <w:rFonts w:ascii="Arial" w:eastAsia="Times New Roman" w:hAnsi="Arial" w:cs="Arial"/>
          <w:bCs/>
          <w:sz w:val="24"/>
          <w:szCs w:val="24"/>
          <w:lang w:eastAsia="ar-SA"/>
        </w:rPr>
        <w:t xml:space="preserve"> sieć połączeń wychodzi</w:t>
      </w:r>
      <w:r>
        <w:rPr>
          <w:rFonts w:ascii="Arial" w:eastAsia="Times New Roman" w:hAnsi="Arial" w:cs="Arial"/>
          <w:bCs/>
          <w:sz w:val="24"/>
          <w:szCs w:val="24"/>
          <w:lang w:eastAsia="ar-SA"/>
        </w:rPr>
        <w:t>ła poza obszar objęty wsparciem.</w:t>
      </w:r>
      <w:r w:rsidRPr="003F78EF">
        <w:rPr>
          <w:rFonts w:ascii="Arial" w:eastAsia="Times New Roman" w:hAnsi="Arial" w:cs="Arial"/>
          <w:bCs/>
          <w:sz w:val="24"/>
          <w:szCs w:val="24"/>
          <w:lang w:eastAsia="ar-SA"/>
        </w:rPr>
        <w:t xml:space="preserve"> </w:t>
      </w:r>
      <w:r w:rsidRPr="003F78EF">
        <w:rPr>
          <w:rFonts w:ascii="Arial" w:eastAsia="Times New Roman" w:hAnsi="Arial" w:cs="Arial"/>
          <w:b/>
          <w:bCs/>
          <w:sz w:val="24"/>
          <w:szCs w:val="24"/>
          <w:lang w:eastAsia="ar-SA"/>
        </w:rPr>
        <w:t>Przedmiotowa sytuacja musi znaleźć uzasadnienie we wniosku o dofinansowanie projektu</w:t>
      </w:r>
      <w:r w:rsidRPr="003F78EF">
        <w:rPr>
          <w:rFonts w:ascii="Arial" w:eastAsia="Times New Roman" w:hAnsi="Arial" w:cs="Arial"/>
          <w:bCs/>
          <w:sz w:val="24"/>
          <w:szCs w:val="24"/>
          <w:lang w:eastAsia="ar-SA"/>
        </w:rPr>
        <w:t>.</w:t>
      </w:r>
    </w:p>
    <w:p w14:paraId="42F0E382" w14:textId="3E61EA04" w:rsidR="00D00985" w:rsidRPr="00D62B84" w:rsidRDefault="00D00985" w:rsidP="007B1854">
      <w:pPr>
        <w:pStyle w:val="Akapitzlist"/>
        <w:numPr>
          <w:ilvl w:val="0"/>
          <w:numId w:val="43"/>
        </w:numPr>
        <w:spacing w:after="120" w:line="276" w:lineRule="auto"/>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Działania 3.1 Transport miejski - ZIT, typu projektu A transport miejski, typ projektu B Plany Zrównoważonej Mobilności Miejskiej, wynikające z kryteriów wyboru przyjętych przez KM FEM 2021-2027, będących załącznikiem do ogłoszenia o naborze wniosku:</w:t>
      </w:r>
    </w:p>
    <w:p w14:paraId="2E54CEC4" w14:textId="77777777" w:rsidR="00D00985"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068CF532"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68A73748"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Wnioskodawcy,</w:t>
      </w:r>
    </w:p>
    <w:p w14:paraId="7200C73B"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2E808DD" w14:textId="77777777" w:rsidR="00D00985"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AA8C573"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Pr>
          <w:rFonts w:ascii="Arial" w:hAnsi="Arial" w:cs="Arial"/>
          <w:sz w:val="24"/>
          <w:szCs w:val="24"/>
        </w:rPr>
        <w:t>zgodność ze specyficznymi warunkami wsparcia – dotyczy typu projektu A,</w:t>
      </w:r>
    </w:p>
    <w:p w14:paraId="77ABAB55"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0FD8E4ED"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ED3141E"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2B78955"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661C51D3"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677C0496"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Pr>
          <w:rFonts w:ascii="Arial" w:hAnsi="Arial" w:cs="Arial"/>
          <w:sz w:val="24"/>
          <w:szCs w:val="24"/>
        </w:rPr>
        <w:t xml:space="preserve"> </w:t>
      </w:r>
      <w:r w:rsidRPr="007C70C4">
        <w:rPr>
          <w:rFonts w:ascii="Arial" w:hAnsi="Arial" w:cs="Arial"/>
          <w:sz w:val="24"/>
          <w:szCs w:val="24"/>
        </w:rPr>
        <w:t>– dotyczy typu projekt</w:t>
      </w:r>
      <w:r>
        <w:rPr>
          <w:rFonts w:ascii="Arial" w:hAnsi="Arial" w:cs="Arial"/>
          <w:sz w:val="24"/>
          <w:szCs w:val="24"/>
        </w:rPr>
        <w:t>u</w:t>
      </w:r>
      <w:r w:rsidRPr="007C70C4">
        <w:rPr>
          <w:rFonts w:ascii="Arial" w:hAnsi="Arial" w:cs="Arial"/>
          <w:sz w:val="24"/>
          <w:szCs w:val="24"/>
        </w:rPr>
        <w:t xml:space="preserve"> A</w:t>
      </w:r>
      <w:r w:rsidRPr="00D62B84">
        <w:rPr>
          <w:rFonts w:ascii="Arial" w:hAnsi="Arial" w:cs="Arial"/>
          <w:sz w:val="24"/>
          <w:szCs w:val="24"/>
        </w:rPr>
        <w:t>,</w:t>
      </w:r>
    </w:p>
    <w:p w14:paraId="1BC8CEC7"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01B16B6F"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2D36C14"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734D7EB3" w14:textId="63E613AE" w:rsidR="00D00985" w:rsidRPr="00D62B84" w:rsidRDefault="00D00985" w:rsidP="007B1854">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w:t>
      </w:r>
      <w:r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7E56C3">
        <w:rPr>
          <w:rFonts w:ascii="Arial" w:eastAsia="Times New Roman" w:hAnsi="Arial" w:cs="Arial"/>
          <w:bCs/>
          <w:iCs/>
          <w:sz w:val="24"/>
          <w:szCs w:val="24"/>
          <w:vertAlign w:val="superscript"/>
          <w:lang w:eastAsia="pl-PL"/>
        </w:rPr>
        <w:footnoteReference w:id="2"/>
      </w:r>
      <w:r w:rsidRPr="00C26972">
        <w:rPr>
          <w:rFonts w:ascii="Arial" w:eastAsia="Times New Roman" w:hAnsi="Arial" w:cs="Arial"/>
          <w:sz w:val="24"/>
          <w:szCs w:val="24"/>
          <w:lang w:eastAsia="pl-PL"/>
        </w:rPr>
        <w:t>,</w:t>
      </w:r>
    </w:p>
    <w:p w14:paraId="7F027FD3"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DEEC9F3" w14:textId="77777777" w:rsidR="00D00985" w:rsidRPr="00D62B84" w:rsidRDefault="00D00985" w:rsidP="007B1854">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6CC63256" w14:textId="77777777" w:rsidR="00D00985" w:rsidRPr="00D62B84" w:rsidRDefault="00D00985" w:rsidP="007B1854">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lastRenderedPageBreak/>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0A85FCE4" w14:textId="77777777" w:rsidR="00D00985" w:rsidRDefault="00D00985" w:rsidP="007B1854">
      <w:pPr>
        <w:numPr>
          <w:ilvl w:val="0"/>
          <w:numId w:val="29"/>
        </w:numPr>
        <w:suppressAutoHyphens/>
        <w:spacing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r>
        <w:rPr>
          <w:rFonts w:ascii="Arial" w:hAnsi="Arial" w:cs="Arial"/>
          <w:sz w:val="24"/>
          <w:szCs w:val="24"/>
        </w:rPr>
        <w:t xml:space="preserve"> – dotyczy typu projektu A</w:t>
      </w:r>
      <w:r w:rsidRPr="00D62B84">
        <w:rPr>
          <w:rFonts w:ascii="Arial" w:hAnsi="Arial" w:cs="Arial"/>
          <w:sz w:val="24"/>
          <w:szCs w:val="24"/>
        </w:rPr>
        <w:t>,</w:t>
      </w:r>
    </w:p>
    <w:p w14:paraId="51435CD1" w14:textId="77777777" w:rsidR="00D00985" w:rsidRDefault="00D00985" w:rsidP="007B1854">
      <w:pPr>
        <w:numPr>
          <w:ilvl w:val="0"/>
          <w:numId w:val="29"/>
        </w:numPr>
        <w:suppressAutoHyphens/>
        <w:spacing w:after="120" w:line="276" w:lineRule="auto"/>
        <w:ind w:left="1072" w:hanging="505"/>
        <w:rPr>
          <w:rFonts w:ascii="Arial" w:hAnsi="Arial" w:cs="Arial"/>
          <w:sz w:val="24"/>
          <w:szCs w:val="24"/>
        </w:rPr>
      </w:pPr>
      <w:r w:rsidRPr="007C70C4">
        <w:rPr>
          <w:rFonts w:ascii="Arial" w:hAnsi="Arial" w:cs="Arial"/>
          <w:sz w:val="24"/>
          <w:szCs w:val="24"/>
        </w:rPr>
        <w:t>w przypadku projektów obejmujących nabycie taboru autobusowego – zgodność systemów napędowych taboru autobusowego, z wymogami dla „ekologicznie czystych pojazdów” w rozumieniu dyrektywy 2009/33/WE</w:t>
      </w:r>
      <w:r>
        <w:rPr>
          <w:rFonts w:ascii="Arial" w:hAnsi="Arial" w:cs="Arial"/>
          <w:sz w:val="24"/>
          <w:szCs w:val="24"/>
        </w:rPr>
        <w:t xml:space="preserve"> </w:t>
      </w:r>
      <w:r w:rsidRPr="007C70C4">
        <w:rPr>
          <w:rFonts w:ascii="Arial" w:hAnsi="Arial" w:cs="Arial"/>
          <w:sz w:val="24"/>
          <w:szCs w:val="24"/>
        </w:rPr>
        <w:t>– dotyczy typu projektu A,</w:t>
      </w:r>
    </w:p>
    <w:p w14:paraId="204C9B4A" w14:textId="77777777" w:rsidR="00D00985" w:rsidRDefault="00D00985" w:rsidP="007B1854">
      <w:pPr>
        <w:numPr>
          <w:ilvl w:val="0"/>
          <w:numId w:val="29"/>
        </w:numPr>
        <w:suppressAutoHyphens/>
        <w:spacing w:after="120" w:line="276" w:lineRule="auto"/>
        <w:ind w:left="1072" w:hanging="505"/>
        <w:rPr>
          <w:rFonts w:ascii="Arial" w:hAnsi="Arial" w:cs="Arial"/>
          <w:sz w:val="24"/>
          <w:szCs w:val="24"/>
        </w:rPr>
      </w:pPr>
      <w:r>
        <w:rPr>
          <w:rFonts w:ascii="Arial" w:hAnsi="Arial" w:cs="Arial"/>
          <w:sz w:val="24"/>
          <w:szCs w:val="24"/>
        </w:rPr>
        <w:t>wpływ na redukcję emisji substancji szkodliwych – dotyczy typu projektu A.</w:t>
      </w:r>
    </w:p>
    <w:p w14:paraId="35EE25CC" w14:textId="77777777" w:rsidR="00D00985" w:rsidRPr="00ED2C2D" w:rsidRDefault="00D00985" w:rsidP="007B1854">
      <w:pPr>
        <w:pStyle w:val="Akapitzlist"/>
        <w:numPr>
          <w:ilvl w:val="0"/>
          <w:numId w:val="43"/>
        </w:numPr>
        <w:suppressAutoHyphens/>
        <w:spacing w:after="120" w:line="276" w:lineRule="auto"/>
        <w:ind w:left="357" w:hanging="35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0C2CDAA1" w14:textId="77777777" w:rsidR="00D00985" w:rsidRPr="00880773" w:rsidRDefault="00D00985" w:rsidP="007B1854">
      <w:pPr>
        <w:pStyle w:val="Akapitzlist"/>
        <w:numPr>
          <w:ilvl w:val="0"/>
          <w:numId w:val="43"/>
        </w:numPr>
        <w:suppressAutoHyphens/>
        <w:spacing w:after="120" w:line="276" w:lineRule="auto"/>
        <w:ind w:left="357" w:hanging="35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55C909E9" w14:textId="77777777" w:rsidR="00D00985" w:rsidRPr="00D00985" w:rsidRDefault="00D00985" w:rsidP="007B1854">
      <w:pPr>
        <w:pStyle w:val="Akapitzlist"/>
        <w:numPr>
          <w:ilvl w:val="0"/>
          <w:numId w:val="43"/>
        </w:numPr>
        <w:suppressAutoHyphens/>
        <w:spacing w:after="120" w:line="276" w:lineRule="auto"/>
        <w:ind w:left="357" w:hanging="35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7619400C" w14:textId="16EE79F2" w:rsidR="00D00985" w:rsidRPr="00D00985" w:rsidRDefault="00D00985" w:rsidP="007B1854">
      <w:pPr>
        <w:pStyle w:val="Akapitzlist"/>
        <w:numPr>
          <w:ilvl w:val="0"/>
          <w:numId w:val="43"/>
        </w:numPr>
        <w:suppressAutoHyphens/>
        <w:spacing w:after="120" w:line="276" w:lineRule="auto"/>
        <w:ind w:left="357" w:hanging="357"/>
        <w:contextualSpacing w:val="0"/>
        <w:rPr>
          <w:rFonts w:ascii="Arial" w:hAnsi="Arial" w:cs="Arial"/>
          <w:i/>
          <w:iCs/>
          <w:color w:val="00000A"/>
          <w:sz w:val="24"/>
          <w:szCs w:val="24"/>
        </w:rPr>
      </w:pPr>
      <w:r w:rsidRPr="00D0098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D00985">
        <w:rPr>
          <w:rFonts w:ascii="Arial" w:hAnsi="Arial" w:cs="Arial"/>
          <w:bCs/>
          <w:i/>
          <w:iCs/>
          <w:sz w:val="24"/>
          <w:szCs w:val="24"/>
        </w:rPr>
        <w:t>o udostępnianiu informacji o środowisku i jego ochronie, udziale społeczeństwa w ochronie środowiska oraz o ocenach oddziaływania na środowisko</w:t>
      </w:r>
      <w:r w:rsidRPr="00D00985">
        <w:rPr>
          <w:rFonts w:ascii="Arial" w:hAnsi="Arial" w:cs="Arial"/>
          <w:bCs/>
          <w:iCs/>
          <w:sz w:val="24"/>
          <w:szCs w:val="24"/>
        </w:rPr>
        <w:t xml:space="preserve"> (w przypadku przedsięwzięć wymienionych w rozporządzeniu OOŚ</w:t>
      </w:r>
      <w:r w:rsidRPr="00D62B84">
        <w:rPr>
          <w:iCs/>
          <w:vertAlign w:val="superscript"/>
        </w:rPr>
        <w:footnoteReference w:id="4"/>
      </w:r>
      <w:r w:rsidRPr="00D00985">
        <w:rPr>
          <w:rFonts w:ascii="Arial" w:hAnsi="Arial" w:cs="Arial"/>
          <w:bCs/>
          <w:iCs/>
          <w:sz w:val="24"/>
          <w:szCs w:val="24"/>
        </w:rPr>
        <w:t xml:space="preserve">), z zastrzeżeniem zapisów §25 </w:t>
      </w:r>
      <w:r w:rsidRPr="00D00985">
        <w:rPr>
          <w:rFonts w:ascii="Arial" w:hAnsi="Arial" w:cs="Arial"/>
          <w:bCs/>
          <w:i/>
          <w:iCs/>
          <w:sz w:val="24"/>
          <w:szCs w:val="24"/>
        </w:rPr>
        <w:t>Regulaminu</w:t>
      </w:r>
      <w:r w:rsidRPr="00D0098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t>
      </w:r>
      <w:r w:rsidRPr="00D00985">
        <w:rPr>
          <w:rFonts w:ascii="Arial" w:hAnsi="Arial" w:cs="Arial"/>
          <w:bCs/>
          <w:iCs/>
          <w:sz w:val="24"/>
          <w:szCs w:val="24"/>
        </w:rPr>
        <w:lastRenderedPageBreak/>
        <w:t>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D0098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E126863" w:rsidR="00C26972" w:rsidRPr="00097115" w:rsidRDefault="00D00985" w:rsidP="00CF1BE3">
      <w:pPr>
        <w:numPr>
          <w:ilvl w:val="0"/>
          <w:numId w:val="35"/>
        </w:numPr>
        <w:ind w:left="426" w:hanging="426"/>
        <w:rPr>
          <w:rFonts w:ascii="Arial" w:eastAsia="Times New Roman" w:hAnsi="Arial" w:cs="Arial"/>
          <w:sz w:val="24"/>
          <w:szCs w:val="24"/>
          <w:lang w:eastAsia="ar-SA"/>
        </w:rPr>
      </w:pPr>
      <w:r w:rsidRPr="00D00985">
        <w:rPr>
          <w:rFonts w:ascii="Arial" w:eastAsia="Times New Roman" w:hAnsi="Arial" w:cs="Arial"/>
          <w:sz w:val="24"/>
          <w:szCs w:val="24"/>
          <w:lang w:eastAsia="ar-SA"/>
        </w:rPr>
        <w:t>cross-financing – 5% wartości dofinansowania projektu</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6D437017" w14:textId="77777777" w:rsidR="00D00985"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4F30172B" w14:textId="77777777"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bieżące utrzymanie taboru lub infrastruktury,</w:t>
      </w:r>
    </w:p>
    <w:p w14:paraId="02F5AD5C" w14:textId="77777777"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260842A5" w14:textId="77777777"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infrastruktura poza obszarem dworca, przystanku kolejowego, parkingu typu „Parkuj i Jedź” lub inna infrastruktura obsługi podróżnych objętej projektem, która nie służy bezpośrednio podróżnym korzystającym z połączeń obsługiwanych przez ww. infrastrukturę,</w:t>
      </w:r>
    </w:p>
    <w:p w14:paraId="25F16B78" w14:textId="77777777" w:rsidR="00D00985" w:rsidRPr="00C1719C"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budowa / przebudowa / modernizacja / rozbudowa lub remont infrastruktury drogowej wykorzystywanej do ruchu pojazdów samochodowych niewykorzystywanych w transporcie publicznym lub zbiorowym, z wyjątkiem narzędzi cyfrowych, obiektów „parkuj i jedź” i środków ukierunkowanych na poprawę bezp. niechronionych użytkowników dróg (w tym pieszych i rowerzystów),</w:t>
      </w:r>
    </w:p>
    <w:p w14:paraId="08F1A72B" w14:textId="77777777" w:rsidR="00D242CA" w:rsidRDefault="00D00985" w:rsidP="00D00985">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prace remontowe, inne niż wskazane powyże</w:t>
      </w:r>
      <w:r>
        <w:rPr>
          <w:rFonts w:ascii="Arial" w:eastAsia="Times New Roman" w:hAnsi="Arial" w:cs="Arial"/>
          <w:sz w:val="24"/>
          <w:szCs w:val="24"/>
          <w:lang w:eastAsia="ar-SA"/>
        </w:rPr>
        <w:t>j</w:t>
      </w:r>
      <w:r w:rsidR="00D242CA">
        <w:rPr>
          <w:rFonts w:ascii="Arial" w:eastAsia="Times New Roman" w:hAnsi="Arial" w:cs="Arial"/>
          <w:sz w:val="24"/>
          <w:szCs w:val="24"/>
          <w:lang w:eastAsia="ar-SA"/>
        </w:rPr>
        <w:t>,</w:t>
      </w:r>
    </w:p>
    <w:p w14:paraId="628ADFA3" w14:textId="77777777" w:rsidR="00D242CA" w:rsidRPr="00ED0032" w:rsidRDefault="00D242CA" w:rsidP="00D242CA">
      <w:pPr>
        <w:pStyle w:val="Akapitzlist"/>
        <w:numPr>
          <w:ilvl w:val="0"/>
          <w:numId w:val="28"/>
        </w:numPr>
        <w:spacing w:after="120" w:line="276" w:lineRule="auto"/>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zgodnie z art. 7 </w:t>
      </w:r>
      <w:r>
        <w:rPr>
          <w:rFonts w:ascii="Arial" w:eastAsia="Times New Roman" w:hAnsi="Arial" w:cs="Arial"/>
          <w:sz w:val="24"/>
          <w:szCs w:val="24"/>
          <w:lang w:eastAsia="ar-SA"/>
        </w:rPr>
        <w:t xml:space="preserve">ust. 1 </w:t>
      </w:r>
      <w:r w:rsidRPr="00ED0032">
        <w:rPr>
          <w:rFonts w:ascii="Arial" w:eastAsia="Times New Roman" w:hAnsi="Arial" w:cs="Arial"/>
          <w:sz w:val="24"/>
          <w:szCs w:val="24"/>
          <w:lang w:eastAsia="ar-SA"/>
        </w:rPr>
        <w:t>pkt h) Rozporządzenia PARLAMENTU EUROPEJSKIEGO I RADY (UE) 2021/1058 z dnia 24 czerwca 2021 r. w sprawie Europejskiego Funduszu Rozwoju Regionalnego i Funduszu Spójności</w:t>
      </w:r>
      <w:r>
        <w:rPr>
          <w:rFonts w:ascii="Arial" w:eastAsia="Times New Roman" w:hAnsi="Arial" w:cs="Arial"/>
          <w:sz w:val="24"/>
          <w:szCs w:val="24"/>
          <w:lang w:eastAsia="ar-SA"/>
        </w:rPr>
        <w:t>, w</w:t>
      </w:r>
      <w:r w:rsidRPr="00ED0032">
        <w:rPr>
          <w:rFonts w:ascii="Arial" w:eastAsia="Times New Roman" w:hAnsi="Arial" w:cs="Arial"/>
          <w:sz w:val="24"/>
          <w:szCs w:val="24"/>
          <w:lang w:eastAsia="ar-SA"/>
        </w:rPr>
        <w:t xml:space="preserve">sparcia z EFRR </w:t>
      </w:r>
      <w:r>
        <w:rPr>
          <w:rFonts w:ascii="Arial" w:eastAsia="Times New Roman" w:hAnsi="Arial" w:cs="Arial"/>
          <w:sz w:val="24"/>
          <w:szCs w:val="24"/>
          <w:lang w:eastAsia="ar-SA"/>
        </w:rPr>
        <w:t xml:space="preserve">nie udziela się na </w:t>
      </w:r>
      <w:r w:rsidRPr="00ED0032">
        <w:rPr>
          <w:rFonts w:ascii="Arial" w:eastAsia="Times New Roman" w:hAnsi="Arial" w:cs="Arial"/>
          <w:sz w:val="24"/>
          <w:szCs w:val="24"/>
          <w:lang w:eastAsia="ar-SA"/>
        </w:rPr>
        <w:t>inwestycje w zakresie produkcji, przetwarzania, transportu, dystrybucji, magazynowania lub spalania paliw kopalnych, z wyjątkiem:</w:t>
      </w:r>
    </w:p>
    <w:p w14:paraId="04B261F6" w14:textId="77777777" w:rsidR="00D242CA" w:rsidRPr="00ED0032" w:rsidRDefault="00D242CA" w:rsidP="00D242CA">
      <w:pPr>
        <w:pStyle w:val="Akapitzlist"/>
        <w:numPr>
          <w:ilvl w:val="0"/>
          <w:numId w:val="68"/>
        </w:numPr>
        <w:spacing w:after="120" w:line="276" w:lineRule="auto"/>
        <w:ind w:left="709" w:hanging="283"/>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 xml:space="preserve">wymiany systemów ciepłowniczych zasilanych </w:t>
      </w:r>
      <w:r>
        <w:rPr>
          <w:rFonts w:ascii="Arial" w:eastAsia="Times New Roman" w:hAnsi="Arial" w:cs="Arial"/>
          <w:sz w:val="24"/>
          <w:szCs w:val="24"/>
          <w:lang w:eastAsia="ar-SA"/>
        </w:rPr>
        <w:t>stałymi paliwami kopalnymi, tj. </w:t>
      </w:r>
      <w:r w:rsidRPr="00ED0032">
        <w:rPr>
          <w:rFonts w:ascii="Arial" w:eastAsia="Times New Roman" w:hAnsi="Arial" w:cs="Arial"/>
          <w:sz w:val="24"/>
          <w:szCs w:val="24"/>
          <w:lang w:eastAsia="ar-SA"/>
        </w:rPr>
        <w:t>węglem kamiennym, torfem, węglem brunatnym, łupkami bitumicznymi, na systemy grzewcze zasilane gazem ziemnym w celu:</w:t>
      </w:r>
    </w:p>
    <w:p w14:paraId="4A64C381" w14:textId="77777777" w:rsidR="00D242CA" w:rsidRPr="00ED0032" w:rsidRDefault="00D242CA" w:rsidP="00D242CA">
      <w:pPr>
        <w:pStyle w:val="Akapitzlist"/>
        <w:numPr>
          <w:ilvl w:val="0"/>
          <w:numId w:val="69"/>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16ACFAFE" w14:textId="77777777" w:rsidR="00D242CA" w:rsidRPr="00ED0032" w:rsidRDefault="00D242CA" w:rsidP="00D242CA">
      <w:pPr>
        <w:pStyle w:val="Akapitzlist"/>
        <w:numPr>
          <w:ilvl w:val="0"/>
          <w:numId w:val="69"/>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modernizacji elektrociepłowni do stanu „wysokosprawnej kogeneracji”, zdefiniowanej w art. 2 pkt 34 dyrektywy 2012/27/UE,</w:t>
      </w:r>
    </w:p>
    <w:p w14:paraId="05258E8F" w14:textId="77777777" w:rsidR="00D242CA" w:rsidRPr="00ED0032" w:rsidRDefault="00D242CA" w:rsidP="00D242CA">
      <w:pPr>
        <w:pStyle w:val="Akapitzlist"/>
        <w:numPr>
          <w:ilvl w:val="0"/>
          <w:numId w:val="69"/>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lastRenderedPageBreak/>
        <w:t>inwestycji w wymianę instalacji zasilanych węglem kamiennym, torfem, węglem brunatnym lub łupkami bitumicznymi, na kotły i systemy ciepłownicze zasilane gazem ziemnym w budynkach mieszkalnych i niemieszkalnych;</w:t>
      </w:r>
    </w:p>
    <w:p w14:paraId="0CDAC4D7" w14:textId="77777777" w:rsidR="00D242CA" w:rsidRDefault="00D242CA" w:rsidP="00D242CA">
      <w:pPr>
        <w:pStyle w:val="Akapitzlist"/>
        <w:numPr>
          <w:ilvl w:val="0"/>
          <w:numId w:val="68"/>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3FBE2B1F" w14:textId="77777777" w:rsidR="00D242CA" w:rsidRPr="00980F30" w:rsidRDefault="00D242CA" w:rsidP="00D242CA">
      <w:pPr>
        <w:spacing w:after="120" w:line="276" w:lineRule="auto"/>
        <w:ind w:left="426"/>
        <w:rPr>
          <w:rFonts w:ascii="Arial" w:eastAsia="Times New Roman" w:hAnsi="Arial" w:cs="Arial"/>
          <w:sz w:val="24"/>
          <w:szCs w:val="24"/>
          <w:lang w:eastAsia="ar-SA"/>
        </w:rPr>
      </w:pPr>
      <w:r w:rsidRPr="007B1854">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7D8914E2" w14:textId="77777777" w:rsidR="00D242CA" w:rsidRPr="00ED0032" w:rsidRDefault="00D242CA" w:rsidP="00D242CA">
      <w:pPr>
        <w:pStyle w:val="Akapitzlist"/>
        <w:numPr>
          <w:ilvl w:val="0"/>
          <w:numId w:val="68"/>
        </w:numPr>
        <w:spacing w:after="120" w:line="276" w:lineRule="auto"/>
        <w:ind w:left="709" w:hanging="283"/>
        <w:rPr>
          <w:rFonts w:ascii="Arial" w:eastAsia="Times New Roman" w:hAnsi="Arial" w:cs="Arial"/>
          <w:sz w:val="24"/>
          <w:szCs w:val="24"/>
          <w:lang w:eastAsia="ar-SA"/>
        </w:rPr>
      </w:pPr>
      <w:r w:rsidRPr="00ED0032">
        <w:rPr>
          <w:rFonts w:ascii="Arial" w:eastAsia="Times New Roman" w:hAnsi="Arial" w:cs="Arial"/>
          <w:sz w:val="24"/>
          <w:szCs w:val="24"/>
          <w:lang w:eastAsia="ar-SA"/>
        </w:rPr>
        <w:t>inwestycji w:</w:t>
      </w:r>
    </w:p>
    <w:p w14:paraId="0EF30D07" w14:textId="77777777" w:rsidR="00D242CA" w:rsidRPr="00ED0032" w:rsidRDefault="00D242CA" w:rsidP="00D242CA">
      <w:pPr>
        <w:pStyle w:val="Akapitzlist"/>
        <w:numPr>
          <w:ilvl w:val="0"/>
          <w:numId w:val="28"/>
        </w:numPr>
        <w:spacing w:after="120" w:line="276" w:lineRule="auto"/>
        <w:ind w:left="993" w:hanging="284"/>
        <w:rPr>
          <w:rFonts w:ascii="Arial" w:eastAsia="Times New Roman" w:hAnsi="Arial" w:cs="Arial"/>
          <w:sz w:val="24"/>
          <w:szCs w:val="24"/>
          <w:lang w:eastAsia="ar-SA"/>
        </w:rPr>
      </w:pPr>
      <w:r w:rsidRPr="00ED0032">
        <w:rPr>
          <w:rFonts w:ascii="Arial" w:eastAsia="Times New Roman" w:hAnsi="Arial" w:cs="Arial"/>
          <w:sz w:val="24"/>
          <w:szCs w:val="24"/>
          <w:lang w:eastAsia="ar-SA"/>
        </w:rPr>
        <w:t>ekologicznie czyste pojazdy zdefiniowane w dyrektywie Parlamentu Europejskiego i Rady 2009/33/WE ( 5 ) do celów publicznych, oraz</w:t>
      </w:r>
    </w:p>
    <w:p w14:paraId="1D4780D0" w14:textId="77777777" w:rsidR="00D242CA" w:rsidRDefault="00D242CA" w:rsidP="00D242CA">
      <w:pPr>
        <w:pStyle w:val="Akapitzlist"/>
        <w:numPr>
          <w:ilvl w:val="0"/>
          <w:numId w:val="28"/>
        </w:numPr>
        <w:spacing w:after="120" w:line="276" w:lineRule="auto"/>
        <w:ind w:left="993" w:hanging="284"/>
        <w:contextualSpacing w:val="0"/>
        <w:rPr>
          <w:rFonts w:ascii="Arial" w:eastAsia="Times New Roman" w:hAnsi="Arial" w:cs="Arial"/>
          <w:sz w:val="24"/>
          <w:szCs w:val="24"/>
          <w:lang w:eastAsia="ar-SA"/>
        </w:rPr>
      </w:pPr>
      <w:r w:rsidRPr="00ED0032">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094E0950" w14:textId="3412BB78" w:rsidR="007B1854" w:rsidRPr="007B1854" w:rsidRDefault="00246BF9" w:rsidP="007B1854">
      <w:pPr>
        <w:spacing w:after="120" w:line="276" w:lineRule="auto"/>
        <w:ind w:left="142"/>
        <w:rPr>
          <w:rFonts w:ascii="Arial" w:hAnsi="Arial" w:cs="Arial"/>
          <w:b/>
          <w:sz w:val="24"/>
          <w:szCs w:val="24"/>
        </w:rPr>
      </w:pPr>
      <w:r w:rsidRPr="007B1854">
        <w:rPr>
          <w:rFonts w:ascii="Arial" w:hAnsi="Arial" w:cs="Arial"/>
          <w:b/>
          <w:sz w:val="24"/>
          <w:szCs w:val="24"/>
        </w:rPr>
        <w:t xml:space="preserve">Mając na uwadze powyższe, inwestycje w pojazdy, maszyny, urządzenia zasilane paliwami kopalnymi uznane zostaną za niekwalifikowane, chyba że beneficjent uzasadni, że nie ma dla nich dostępnej alternatywnej technologii, w tym </w:t>
      </w:r>
      <w:r w:rsidR="00D730C4" w:rsidRPr="007B1854">
        <w:rPr>
          <w:rFonts w:ascii="Arial" w:hAnsi="Arial" w:cs="Arial"/>
          <w:b/>
          <w:sz w:val="24"/>
          <w:szCs w:val="24"/>
        </w:rPr>
        <w:t xml:space="preserve">nie jest możliwe </w:t>
      </w:r>
      <w:r w:rsidRPr="007B1854">
        <w:rPr>
          <w:rFonts w:ascii="Arial" w:hAnsi="Arial" w:cs="Arial"/>
          <w:b/>
          <w:color w:val="000000"/>
          <w:sz w:val="24"/>
          <w:szCs w:val="24"/>
        </w:rPr>
        <w:t>zastosowanie alternatywnych rozwiązań w ramach projektu</w:t>
      </w:r>
      <w:r w:rsidRPr="007B1854">
        <w:rPr>
          <w:rFonts w:ascii="Arial" w:hAnsi="Arial" w:cs="Arial"/>
          <w:b/>
          <w:sz w:val="24"/>
          <w:szCs w:val="24"/>
        </w:rPr>
        <w:t>.</w:t>
      </w:r>
    </w:p>
    <w:p w14:paraId="5EA5AE0F" w14:textId="3AA5E4F9" w:rsidR="0055583A" w:rsidRPr="0055583A" w:rsidRDefault="0055583A" w:rsidP="002D3ABC">
      <w:pPr>
        <w:pStyle w:val="Nagwek3"/>
      </w:pPr>
      <w:r w:rsidRPr="0055583A">
        <w:t>Koszty pośrednie</w:t>
      </w:r>
    </w:p>
    <w:p w14:paraId="64DC2318" w14:textId="243C9516" w:rsidR="009D2408" w:rsidRPr="007B1854" w:rsidRDefault="00D00985">
      <w:pPr>
        <w:rPr>
          <w:rFonts w:ascii="Arial" w:eastAsia="Times New Roman" w:hAnsi="Arial" w:cs="Arial"/>
          <w:sz w:val="24"/>
          <w:szCs w:val="24"/>
          <w:lang w:eastAsia="ar-SA"/>
        </w:rPr>
      </w:pPr>
      <w:r>
        <w:rPr>
          <w:rFonts w:ascii="Arial" w:eastAsia="Times New Roman" w:hAnsi="Arial" w:cs="Arial"/>
          <w:sz w:val="24"/>
          <w:szCs w:val="24"/>
          <w:lang w:eastAsia="ar-SA"/>
        </w:rPr>
        <w:t xml:space="preserve">0,5% </w:t>
      </w:r>
      <w:r w:rsidRPr="0055583A">
        <w:rPr>
          <w:rFonts w:ascii="Arial" w:eastAsia="Times New Roman" w:hAnsi="Arial" w:cs="Arial"/>
          <w:sz w:val="24"/>
          <w:szCs w:val="24"/>
          <w:lang w:eastAsia="ar-SA"/>
        </w:rPr>
        <w:t>bezpośrednich wydatków kwalifikowalnych projektu</w:t>
      </w:r>
    </w:p>
    <w:p w14:paraId="03B85DCF" w14:textId="1013DB98" w:rsidR="0055583A" w:rsidRPr="0055583A" w:rsidRDefault="0055583A" w:rsidP="002D3ABC">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W przypadku projektów, który łączny koszt wyrażony w PLN przekracza 200 tys. EUR uwzględnienie kosztów pośrednich w projekcie jest dobrowolne.</w:t>
      </w:r>
    </w:p>
    <w:p w14:paraId="1B73EC1A" w14:textId="07E55344" w:rsidR="004D3F1F" w:rsidRPr="00245874" w:rsidRDefault="004D3F1F" w:rsidP="002D3ABC">
      <w:pPr>
        <w:pStyle w:val="Nagwek3"/>
      </w:pPr>
      <w:r w:rsidRPr="004D3F1F">
        <w:t>Pomoc publiczna</w:t>
      </w:r>
    </w:p>
    <w:p w14:paraId="07E58880" w14:textId="291FFCE9" w:rsidR="00D00985" w:rsidRPr="00A52814" w:rsidRDefault="00D00985" w:rsidP="00CF1BE3">
      <w:pPr>
        <w:numPr>
          <w:ilvl w:val="3"/>
          <w:numId w:val="3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Ubiegając się o przyznanie pomocy publicznej w ramach Działania 3.1 właściwymi przepisami prawa, </w:t>
      </w:r>
      <w:r w:rsidR="00656B36">
        <w:rPr>
          <w:rFonts w:ascii="Arial" w:eastAsia="Times New Roman" w:hAnsi="Arial" w:cs="Arial"/>
          <w:sz w:val="24"/>
          <w:szCs w:val="24"/>
          <w:lang w:eastAsia="pl-PL"/>
        </w:rPr>
        <w:t>są</w:t>
      </w:r>
      <w:r w:rsidRPr="00A52814">
        <w:rPr>
          <w:rFonts w:ascii="Arial" w:eastAsia="Times New Roman" w:hAnsi="Arial" w:cs="Arial"/>
          <w:sz w:val="24"/>
          <w:szCs w:val="24"/>
          <w:lang w:eastAsia="pl-PL"/>
        </w:rPr>
        <w:t xml:space="preserve"> w szczególności: </w:t>
      </w:r>
    </w:p>
    <w:p w14:paraId="0BB23C0B" w14:textId="11C962FC" w:rsidR="00D00985" w:rsidRPr="00A52814" w:rsidRDefault="00D00985" w:rsidP="00CF1BE3">
      <w:pPr>
        <w:numPr>
          <w:ilvl w:val="0"/>
          <w:numId w:val="31"/>
        </w:numPr>
        <w:suppressAutoHyphens/>
        <w:spacing w:after="12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Decyzj</w:t>
      </w:r>
      <w:r w:rsidR="00656B36">
        <w:rPr>
          <w:rFonts w:ascii="Arial" w:eastAsia="Times New Roman" w:hAnsi="Arial" w:cs="Arial"/>
          <w:sz w:val="24"/>
          <w:szCs w:val="24"/>
          <w:lang w:eastAsia="pl-PL"/>
        </w:rPr>
        <w:t>a</w:t>
      </w:r>
      <w:r w:rsidRPr="00A52814">
        <w:rPr>
          <w:rFonts w:ascii="Arial" w:eastAsia="Times New Roman" w:hAnsi="Arial" w:cs="Arial"/>
          <w:sz w:val="24"/>
          <w:szCs w:val="24"/>
          <w:lang w:eastAsia="pl-PL"/>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4FB6258C" w14:textId="77777777" w:rsidR="00D00985" w:rsidRPr="00A52814" w:rsidRDefault="00D00985" w:rsidP="00CF1BE3">
      <w:pPr>
        <w:numPr>
          <w:ilvl w:val="0"/>
          <w:numId w:val="31"/>
        </w:numPr>
        <w:suppressAutoHyphens/>
        <w:spacing w:after="12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Komunikat Komisji w sprawie stosowania reguł UE w dziedzinie pomocy państwa w odniesieniu do rekompensaty z tytułu usług świadczonych w ogólnym interesie gospodarczym;</w:t>
      </w:r>
    </w:p>
    <w:p w14:paraId="19CB4481" w14:textId="645E4350" w:rsidR="00D00985" w:rsidRDefault="00D00985" w:rsidP="00CF1BE3">
      <w:pPr>
        <w:numPr>
          <w:ilvl w:val="0"/>
          <w:numId w:val="31"/>
        </w:numPr>
        <w:suppressAutoHyphens/>
        <w:spacing w:after="12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260FB7C5" w14:textId="0E2D5B51" w:rsidR="00D00985" w:rsidRPr="00656B36" w:rsidRDefault="00D00985" w:rsidP="00CF1BE3">
      <w:pPr>
        <w:numPr>
          <w:ilvl w:val="0"/>
          <w:numId w:val="31"/>
        </w:numPr>
        <w:suppressAutoHyphens/>
        <w:spacing w:after="120" w:line="276" w:lineRule="auto"/>
        <w:rPr>
          <w:rFonts w:ascii="Arial" w:eastAsia="Times New Roman" w:hAnsi="Arial" w:cs="Arial"/>
          <w:sz w:val="24"/>
          <w:szCs w:val="24"/>
          <w:lang w:eastAsia="pl-PL"/>
        </w:rPr>
      </w:pPr>
      <w:r w:rsidRPr="00656B36">
        <w:rPr>
          <w:rFonts w:ascii="Arial" w:eastAsia="Times New Roman" w:hAnsi="Arial" w:cs="Arial"/>
          <w:sz w:val="24"/>
          <w:szCs w:val="24"/>
          <w:lang w:eastAsia="pl-PL"/>
        </w:rPr>
        <w:t>Rozporządzenie  Komisji (UE) 2023/2832 z dnia 13 grudnia 2023 r. w sprawie stosowania art. 107 i 108 Traktatu o funkcjonowaniu Unii Europejskiej do pomocy de minimis przyznawanej przedsiębiorstwom wykonującym usługi świadczone w</w:t>
      </w:r>
      <w:r w:rsidR="00656B36" w:rsidRPr="00656B36">
        <w:rPr>
          <w:rFonts w:ascii="Arial" w:eastAsia="Times New Roman" w:hAnsi="Arial" w:cs="Arial"/>
          <w:sz w:val="24"/>
          <w:szCs w:val="24"/>
          <w:lang w:eastAsia="pl-PL"/>
        </w:rPr>
        <w:t xml:space="preserve"> ogólnym interesie gospodarczym;</w:t>
      </w:r>
    </w:p>
    <w:p w14:paraId="7D14DAE2" w14:textId="62D5F1A9" w:rsidR="00656B36" w:rsidRPr="00656B36" w:rsidRDefault="00656B36" w:rsidP="004669BB">
      <w:pPr>
        <w:numPr>
          <w:ilvl w:val="0"/>
          <w:numId w:val="31"/>
        </w:numPr>
        <w:suppressAutoHyphens/>
        <w:spacing w:after="120" w:line="276" w:lineRule="auto"/>
        <w:rPr>
          <w:rFonts w:ascii="Arial" w:eastAsia="Times New Roman" w:hAnsi="Arial" w:cs="Arial"/>
          <w:sz w:val="24"/>
          <w:szCs w:val="24"/>
          <w:lang w:eastAsia="pl-PL"/>
        </w:rPr>
      </w:pPr>
      <w:r w:rsidRPr="00656B36">
        <w:rPr>
          <w:rFonts w:ascii="Arial" w:eastAsia="Times New Roman" w:hAnsi="Arial" w:cs="Arial"/>
          <w:sz w:val="24"/>
          <w:szCs w:val="24"/>
          <w:lang w:eastAsia="pl-PL"/>
        </w:rPr>
        <w:t>Rozporządzenie Ministra Funduszy i Polityki Regionalnej z dnia 17 kwietnia 2024 r. w sprawie udzielania pomocy de minimis w ramach regionalnych programów na lata 2021–2027.</w:t>
      </w:r>
    </w:p>
    <w:p w14:paraId="681DC4DF" w14:textId="4409CF2B" w:rsidR="007E405D" w:rsidRPr="00D2366F" w:rsidRDefault="00D00985" w:rsidP="00D00985">
      <w:pPr>
        <w:ind w:left="568"/>
        <w:rPr>
          <w:rFonts w:ascii="Arial" w:eastAsia="Times New Roman" w:hAnsi="Arial" w:cs="Arial"/>
          <w:sz w:val="24"/>
          <w:szCs w:val="24"/>
          <w:lang w:eastAsia="ar-SA"/>
        </w:rPr>
      </w:pPr>
      <w:r w:rsidRPr="00A52814">
        <w:rPr>
          <w:rFonts w:ascii="Arial" w:eastAsia="Times New Roman" w:hAnsi="Arial" w:cs="Arial"/>
          <w:sz w:val="24"/>
          <w:szCs w:val="24"/>
          <w:lang w:eastAsia="pl-PL"/>
        </w:rPr>
        <w:t>Szczegółowe informacje w tym zakresie znajdują się w załączniku oraz w Wademekum wiedzy o wniosku.</w:t>
      </w:r>
    </w:p>
    <w:p w14:paraId="591685D0" w14:textId="77777777" w:rsidR="007E405D" w:rsidRPr="00D2366F" w:rsidRDefault="007E405D" w:rsidP="00CF1BE3">
      <w:pPr>
        <w:pStyle w:val="Akapitzlist"/>
        <w:numPr>
          <w:ilvl w:val="3"/>
          <w:numId w:val="30"/>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1ED04AFE" w14:textId="515CE732" w:rsidR="007E405D" w:rsidRPr="009E599A" w:rsidRDefault="007E405D" w:rsidP="007E405D">
      <w:pPr>
        <w:pStyle w:val="Nagwek3"/>
      </w:pPr>
      <w:r w:rsidRPr="009E599A">
        <w:rPr>
          <w:shd w:val="clear" w:color="auto" w:fill="D9D9D9" w:themeFill="background1" w:themeFillShade="D9"/>
        </w:rPr>
        <w:t>Wyjaśnienie użytych pojęć:</w:t>
      </w:r>
    </w:p>
    <w:p w14:paraId="1B345EEF" w14:textId="77777777" w:rsidR="00D00985"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Autobus zeroemisyjny – </w:t>
      </w:r>
      <w:r w:rsidRPr="00B171F1">
        <w:rPr>
          <w:rFonts w:ascii="Arial" w:eastAsia="Times New Roman" w:hAnsi="Arial" w:cs="Arial"/>
          <w:sz w:val="24"/>
          <w:szCs w:val="24"/>
          <w:lang w:eastAsia="ar-SA"/>
        </w:rPr>
        <w:t>“autobus” w rozumieniu art. 2 pkt. 41 ustawy z dnia 20 czerwca 1997 r. Prawo o ruchu drogowym,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oraz „trolejbus” w rozumieniu art. 2 pkt 83 ustawy z dnia 20 czerwca 1997 r. Prawo o ruchu drogowym.</w:t>
      </w:r>
    </w:p>
    <w:p w14:paraId="432AB83D" w14:textId="77777777" w:rsidR="00D00985"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lastRenderedPageBreak/>
        <w:t xml:space="preserve">Ciąg pieszo-rowerowy – </w:t>
      </w:r>
      <w:r w:rsidRPr="00B171F1">
        <w:rPr>
          <w:rFonts w:ascii="Arial" w:eastAsia="Times New Roman" w:hAnsi="Arial" w:cs="Arial"/>
          <w:sz w:val="24"/>
          <w:szCs w:val="24"/>
          <w:lang w:eastAsia="ar-SA"/>
        </w:rPr>
        <w:t>droga dla pieszych i rowerów oznaczona kompilacją znaków C-13 i C-16.</w:t>
      </w:r>
    </w:p>
    <w:p w14:paraId="58EAC597" w14:textId="77777777" w:rsidR="00D00985" w:rsidRPr="00B171F1"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B171F1">
        <w:rPr>
          <w:rFonts w:ascii="Arial" w:hAnsi="Arial" w:cs="Arial"/>
          <w:b/>
          <w:sz w:val="24"/>
          <w:szCs w:val="24"/>
        </w:rPr>
        <w:t>Droga / trasa / ścieżka rowerowa</w:t>
      </w:r>
      <w:r w:rsidRPr="00B171F1">
        <w:rPr>
          <w:rFonts w:ascii="Arial" w:hAnsi="Arial" w:cs="Arial"/>
          <w:sz w:val="24"/>
          <w:szCs w:val="24"/>
        </w:rPr>
        <w:t xml:space="preserve"> – droga lub jej część przeznaczona do ruchu rowerów, oznaczona odpowiednimi znakami drogowymi; droga dla rowerów jest oddzielona od innych dróg lub jezdni tej samej drogi konstrukcyjnie lub za pomocą urządzeń bezpieczeństwa ruchu drogowego (Ustawa z dnia 20 czerwca 1997 r. Prawo o ruchu drogowym).</w:t>
      </w:r>
    </w:p>
    <w:p w14:paraId="41AB0BFF" w14:textId="77777777" w:rsidR="00D00985" w:rsidRPr="00B171F1"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Ekologicznie czysty pojazd</w:t>
      </w:r>
      <w:r w:rsidRPr="00B171F1">
        <w:rPr>
          <w:rFonts w:ascii="Arial" w:eastAsia="Times New Roman" w:hAnsi="Arial" w:cs="Arial"/>
          <w:sz w:val="24"/>
          <w:szCs w:val="24"/>
          <w:lang w:eastAsia="ar-SA"/>
        </w:rPr>
        <w:t xml:space="preserve"> – w rozumieniu dyrektywy PE i Rady (UE) 2019/1161 – oznacza:</w:t>
      </w:r>
    </w:p>
    <w:p w14:paraId="59F7FCD1" w14:textId="77777777" w:rsidR="00D00985" w:rsidRDefault="00D00985" w:rsidP="00CF1BE3">
      <w:pPr>
        <w:pStyle w:val="Akapitzlist"/>
        <w:numPr>
          <w:ilvl w:val="0"/>
          <w:numId w:val="44"/>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19AACD32" w14:textId="77777777" w:rsidR="00D00985" w:rsidRDefault="00D00985" w:rsidP="00CF1BE3">
      <w:pPr>
        <w:pStyle w:val="Akapitzlist"/>
        <w:numPr>
          <w:ilvl w:val="0"/>
          <w:numId w:val="44"/>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p>
    <w:p w14:paraId="488EC6E3" w14:textId="77777777" w:rsidR="00D00985"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Pas ruchu dla rowerów </w:t>
      </w:r>
      <w:r w:rsidRPr="00B171F1">
        <w:rPr>
          <w:rFonts w:ascii="Arial" w:eastAsia="Times New Roman" w:hAnsi="Arial" w:cs="Arial"/>
          <w:sz w:val="24"/>
          <w:szCs w:val="24"/>
          <w:lang w:eastAsia="ar-SA"/>
        </w:rPr>
        <w:t>– część jezdni przeznaczona do ruchu rowerów w jednym kierunku, oznaczona odpowiednimi znakami drogowymi (ustawa z dn. 20 czerwca 1997 r. Prawo o ruchu drogowym).</w:t>
      </w:r>
    </w:p>
    <w:p w14:paraId="2870D67F" w14:textId="77777777" w:rsidR="00D00985"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Parking „parkuj i jedź”</w:t>
      </w:r>
      <w:r w:rsidRPr="00B171F1">
        <w:rPr>
          <w:rFonts w:ascii="Arial" w:eastAsia="Times New Roman" w:hAnsi="Arial" w:cs="Arial"/>
          <w:sz w:val="24"/>
          <w:szCs w:val="24"/>
          <w:lang w:eastAsia="ar-SA"/>
        </w:rPr>
        <w:t xml:space="preserve"> </w:t>
      </w:r>
      <w:r w:rsidRPr="00B171F1">
        <w:rPr>
          <w:rFonts w:ascii="Arial" w:eastAsia="Times New Roman" w:hAnsi="Arial" w:cs="Arial"/>
          <w:b/>
          <w:sz w:val="24"/>
          <w:szCs w:val="24"/>
          <w:lang w:eastAsia="ar-SA"/>
        </w:rPr>
        <w:t>(Park&amp;Ride)</w:t>
      </w:r>
      <w:r w:rsidRPr="00B171F1">
        <w:rPr>
          <w:rFonts w:ascii="Arial" w:eastAsia="Times New Roman" w:hAnsi="Arial" w:cs="Arial"/>
          <w:sz w:val="24"/>
          <w:szCs w:val="24"/>
          <w:lang w:eastAsia="ar-SA"/>
        </w:rPr>
        <w:t xml:space="preserve"> – parking pełniący funkcję przesiadkową, umożliwiający kontynuację podróży środkami komunikacji zbiorowej.</w:t>
      </w:r>
    </w:p>
    <w:p w14:paraId="6D458351" w14:textId="77777777" w:rsidR="00D00985"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Śluza dla rowerów</w:t>
      </w:r>
      <w:r w:rsidRPr="00B171F1">
        <w:rPr>
          <w:rFonts w:ascii="Arial" w:eastAsia="Times New Roman" w:hAnsi="Arial" w:cs="Arial"/>
          <w:sz w:val="24"/>
          <w:szCs w:val="24"/>
          <w:lang w:eastAsia="ar-SA"/>
        </w:rPr>
        <w:t xml:space="preserve">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p>
    <w:p w14:paraId="4B4C3445" w14:textId="43C4582B" w:rsidR="004D3F1F" w:rsidRPr="00D00985" w:rsidRDefault="00D00985" w:rsidP="00CF1BE3">
      <w:pPr>
        <w:pStyle w:val="Akapitzlist"/>
        <w:numPr>
          <w:ilvl w:val="0"/>
          <w:numId w:val="45"/>
        </w:numPr>
        <w:spacing w:after="120" w:line="276" w:lineRule="auto"/>
        <w:contextualSpacing w:val="0"/>
        <w:rPr>
          <w:rFonts w:ascii="Arial" w:eastAsia="Times New Roman" w:hAnsi="Arial" w:cs="Arial"/>
          <w:sz w:val="24"/>
          <w:szCs w:val="24"/>
          <w:lang w:eastAsia="ar-SA"/>
        </w:rPr>
      </w:pPr>
      <w:r w:rsidRPr="00D00985">
        <w:rPr>
          <w:rFonts w:ascii="Arial" w:eastAsia="Times New Roman" w:hAnsi="Arial" w:cs="Arial"/>
          <w:b/>
          <w:sz w:val="24"/>
          <w:szCs w:val="24"/>
          <w:lang w:eastAsia="ar-SA"/>
        </w:rPr>
        <w:t>Węzeł przesiadkowy</w:t>
      </w:r>
      <w:r w:rsidRPr="00D00985">
        <w:rPr>
          <w:rFonts w:ascii="Arial" w:eastAsia="Times New Roman" w:hAnsi="Arial" w:cs="Arial"/>
          <w:sz w:val="24"/>
          <w:szCs w:val="24"/>
          <w:lang w:eastAsia="ar-SA"/>
        </w:rPr>
        <w:t xml:space="preserve"> – rozumiany jest zgodnie z art. 4 ust. 1 pkt 27 Ustawy o publicznym transporcie zbiorowym,</w:t>
      </w:r>
      <w:r w:rsidRPr="00D00985">
        <w:rPr>
          <w:rFonts w:ascii="Arial" w:eastAsia="Calibri" w:hAnsi="Arial" w:cs="Arial"/>
          <w:color w:val="000000"/>
          <w:sz w:val="24"/>
          <w:szCs w:val="24"/>
        </w:rPr>
        <w:t xml:space="preserve"> </w:t>
      </w:r>
      <w:r w:rsidRPr="00D00985">
        <w:rPr>
          <w:rFonts w:ascii="Arial" w:eastAsia="Times New Roman" w:hAnsi="Arial" w:cs="Arial"/>
          <w:sz w:val="24"/>
          <w:szCs w:val="24"/>
          <w:lang w:eastAsia="ar-SA"/>
        </w:rPr>
        <w:t>tj.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023AF070"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833A73">
        <w:rPr>
          <w:rFonts w:ascii="Arial" w:eastAsia="Times New Roman" w:hAnsi="Arial" w:cs="Arial"/>
          <w:iCs/>
          <w:sz w:val="24"/>
          <w:szCs w:val="24"/>
          <w:lang w:eastAsia="ar-SA"/>
        </w:rPr>
        <w:t>2 i nr 3</w:t>
      </w:r>
      <w:r w:rsidR="00833A73" w:rsidRPr="00AD35D0">
        <w:rPr>
          <w:rFonts w:ascii="Arial" w:eastAsia="Times New Roman" w:hAnsi="Arial" w:cs="Arial"/>
          <w:iCs/>
          <w:sz w:val="24"/>
          <w:szCs w:val="24"/>
          <w:lang w:eastAsia="ar-SA"/>
        </w:rPr>
        <w:t xml:space="preserve"> </w:t>
      </w:r>
      <w:r w:rsidRPr="00AD35D0">
        <w:rPr>
          <w:rFonts w:ascii="Arial" w:eastAsia="Times New Roman" w:hAnsi="Arial" w:cs="Arial"/>
          <w:iCs/>
          <w:sz w:val="24"/>
          <w:szCs w:val="24"/>
          <w:lang w:eastAsia="ar-SA"/>
        </w:rPr>
        <w:t xml:space="preserve">do </w:t>
      </w:r>
      <w:r w:rsidR="00833A73">
        <w:rPr>
          <w:rFonts w:ascii="Arial" w:eastAsia="Times New Roman" w:hAnsi="Arial" w:cs="Arial"/>
          <w:iCs/>
          <w:sz w:val="24"/>
          <w:szCs w:val="24"/>
          <w:lang w:eastAsia="ar-SA"/>
        </w:rPr>
        <w:t>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00985" w:rsidRPr="003D5A4C" w14:paraId="6E5B1ADC" w14:textId="77777777" w:rsidTr="00D00985">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12CB9"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3C0D895A" w14:textId="77777777" w:rsidR="00D00985" w:rsidRPr="003D5A4C" w:rsidRDefault="00D00985" w:rsidP="00D00985">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D00985" w:rsidRPr="00396247" w14:paraId="7E04598E"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3822499B" w14:textId="77777777" w:rsidR="00D00985" w:rsidRPr="00AA69A3" w:rsidRDefault="00D00985" w:rsidP="00D00985">
            <w:pPr>
              <w:autoSpaceDE w:val="0"/>
              <w:autoSpaceDN w:val="0"/>
              <w:adjustRightInd w:val="0"/>
              <w:spacing w:after="120" w:line="276" w:lineRule="auto"/>
              <w:rPr>
                <w:rFonts w:ascii="Arial" w:eastAsia="Calibri" w:hAnsi="Arial" w:cs="Arial"/>
                <w:b/>
                <w:sz w:val="24"/>
              </w:rPr>
            </w:pPr>
            <w:r w:rsidRPr="00AA69A3">
              <w:rPr>
                <w:rFonts w:ascii="Arial" w:eastAsia="Calibri" w:hAnsi="Arial" w:cs="Arial"/>
                <w:b/>
                <w:sz w:val="24"/>
              </w:rPr>
              <w:t>Pkt. E.1.1 Zasadność realizacji projektu w kontekście zdiagnozowanych potrzeb</w:t>
            </w:r>
          </w:p>
          <w:p w14:paraId="166E9781" w14:textId="77777777" w:rsidR="00D00985" w:rsidRPr="00995552" w:rsidRDefault="00D00985" w:rsidP="00D00985">
            <w:pPr>
              <w:autoSpaceDE w:val="0"/>
              <w:autoSpaceDN w:val="0"/>
              <w:adjustRightInd w:val="0"/>
              <w:spacing w:after="120" w:line="276" w:lineRule="auto"/>
              <w:rPr>
                <w:rFonts w:ascii="Arial" w:eastAsia="Calibri" w:hAnsi="Arial" w:cs="Arial"/>
                <w:b/>
                <w:sz w:val="24"/>
                <w:szCs w:val="24"/>
              </w:rPr>
            </w:pPr>
            <w:r w:rsidRPr="00995552">
              <w:rPr>
                <w:rFonts w:ascii="Arial" w:eastAsia="Calibri" w:hAnsi="Arial" w:cs="Arial"/>
                <w:b/>
                <w:sz w:val="24"/>
                <w:szCs w:val="24"/>
              </w:rPr>
              <w:t>Typ projektu A. Transport miejski</w:t>
            </w:r>
          </w:p>
          <w:p w14:paraId="2BB6DB53" w14:textId="77777777" w:rsidR="00D00985" w:rsidRPr="00AA69A3" w:rsidRDefault="00D00985" w:rsidP="00D00985">
            <w:pPr>
              <w:autoSpaceDE w:val="0"/>
              <w:autoSpaceDN w:val="0"/>
              <w:adjustRightInd w:val="0"/>
              <w:spacing w:after="120" w:line="276" w:lineRule="auto"/>
              <w:rPr>
                <w:rFonts w:ascii="Arial" w:eastAsia="Calibri" w:hAnsi="Arial" w:cs="Arial"/>
                <w:sz w:val="24"/>
                <w:szCs w:val="24"/>
              </w:rPr>
            </w:pPr>
            <w:r w:rsidRPr="00AA69A3">
              <w:rPr>
                <w:rFonts w:ascii="Arial" w:eastAsia="Calibri" w:hAnsi="Arial" w:cs="Arial"/>
                <w:sz w:val="24"/>
                <w:szCs w:val="24"/>
              </w:rPr>
              <w:t>W ramach pkt E.1.1 należy przedstawić informacje wskazujące, czy:</w:t>
            </w:r>
          </w:p>
          <w:p w14:paraId="2108C01E" w14:textId="77777777" w:rsidR="00D00985" w:rsidRPr="008E7295" w:rsidRDefault="00D00985" w:rsidP="00CF1BE3">
            <w:pPr>
              <w:pStyle w:val="Akapitzlist"/>
              <w:numPr>
                <w:ilvl w:val="0"/>
                <w:numId w:val="46"/>
              </w:numPr>
              <w:autoSpaceDE w:val="0"/>
              <w:autoSpaceDN w:val="0"/>
              <w:adjustRightInd w:val="0"/>
              <w:spacing w:after="120" w:line="276" w:lineRule="auto"/>
              <w:ind w:left="313"/>
              <w:rPr>
                <w:rFonts w:ascii="Arial" w:eastAsia="Calibri" w:hAnsi="Arial" w:cs="Arial"/>
                <w:sz w:val="24"/>
              </w:rPr>
            </w:pPr>
            <w:r w:rsidRPr="008E7295">
              <w:rPr>
                <w:rFonts w:ascii="Arial" w:eastAsia="Calibri" w:hAnsi="Arial" w:cs="Arial"/>
                <w:sz w:val="24"/>
              </w:rPr>
              <w:t xml:space="preserve">projekt wynika z </w:t>
            </w:r>
            <w:r w:rsidRPr="008E7295">
              <w:rPr>
                <w:rFonts w:ascii="Arial" w:eastAsia="Calibri" w:hAnsi="Arial" w:cs="Arial"/>
                <w:b/>
                <w:bCs/>
                <w:sz w:val="24"/>
              </w:rPr>
              <w:t xml:space="preserve">dokumentu planowania mobilności miejskiej </w:t>
            </w:r>
            <w:r w:rsidRPr="008E7295">
              <w:rPr>
                <w:rFonts w:ascii="Arial" w:eastAsia="Calibri" w:hAnsi="Arial" w:cs="Arial"/>
                <w:b/>
                <w:bCs/>
                <w:iCs/>
                <w:sz w:val="24"/>
              </w:rPr>
              <w:t xml:space="preserve">przyjętego na obszarze, w którym realizowana jest inwestycja </w:t>
            </w:r>
            <w:r w:rsidRPr="008E7295">
              <w:rPr>
                <w:rFonts w:ascii="Arial" w:eastAsia="Calibri" w:hAnsi="Arial" w:cs="Arial"/>
                <w:b/>
                <w:bCs/>
                <w:sz w:val="24"/>
                <w:lang w:val="x-none"/>
              </w:rPr>
              <w:t xml:space="preserve">(co oznacza, że zakres </w:t>
            </w:r>
            <w:r>
              <w:rPr>
                <w:rFonts w:ascii="Arial" w:eastAsia="Calibri" w:hAnsi="Arial" w:cs="Arial"/>
                <w:b/>
                <w:bCs/>
                <w:sz w:val="24"/>
                <w:lang w:val="x-none"/>
              </w:rPr>
              <w:br/>
            </w:r>
            <w:r w:rsidRPr="008E7295">
              <w:rPr>
                <w:rFonts w:ascii="Arial" w:eastAsia="Calibri" w:hAnsi="Arial" w:cs="Arial"/>
                <w:b/>
                <w:bCs/>
                <w:sz w:val="24"/>
                <w:lang w:val="x-none"/>
              </w:rPr>
              <w:t xml:space="preserve">i cele projektu są bezpośrednio powiązane z </w:t>
            </w:r>
            <w:r w:rsidRPr="008E7295">
              <w:rPr>
                <w:rFonts w:ascii="Arial" w:eastAsia="Calibri" w:hAnsi="Arial" w:cs="Arial"/>
                <w:b/>
                <w:bCs/>
                <w:sz w:val="24"/>
              </w:rPr>
              <w:t>ww. dokumentem</w:t>
            </w:r>
            <w:r w:rsidRPr="008E7295">
              <w:rPr>
                <w:rFonts w:ascii="Arial" w:eastAsia="Calibri" w:hAnsi="Arial" w:cs="Arial"/>
                <w:b/>
                <w:bCs/>
                <w:sz w:val="24"/>
                <w:lang w:val="x-none"/>
              </w:rPr>
              <w:t xml:space="preserve"> i jego celami albo projekt został uwzględniony wykazie projektów / inwestycji ujętych w </w:t>
            </w:r>
            <w:r w:rsidRPr="008E7295">
              <w:rPr>
                <w:rFonts w:ascii="Arial" w:eastAsia="Calibri" w:hAnsi="Arial" w:cs="Arial"/>
                <w:b/>
                <w:bCs/>
                <w:sz w:val="24"/>
              </w:rPr>
              <w:t>ww. dokumencie</w:t>
            </w:r>
            <w:r w:rsidRPr="008E7295">
              <w:rPr>
                <w:rFonts w:ascii="Arial" w:eastAsia="Calibri" w:hAnsi="Arial" w:cs="Arial"/>
                <w:b/>
                <w:bCs/>
                <w:sz w:val="24"/>
                <w:lang w:val="x-none"/>
              </w:rPr>
              <w:t>)</w:t>
            </w:r>
            <w:r w:rsidRPr="008E7295">
              <w:rPr>
                <w:rFonts w:ascii="Arial" w:eastAsia="Calibri" w:hAnsi="Arial" w:cs="Arial"/>
                <w:sz w:val="24"/>
              </w:rPr>
              <w:t>– zgodnie z właściwymi wymogami Umowy Partnerstwa tj.:</w:t>
            </w:r>
          </w:p>
          <w:p w14:paraId="67BF04E1" w14:textId="77777777" w:rsidR="00D00985" w:rsidRPr="008E7295" w:rsidRDefault="00D00985" w:rsidP="00CF1BE3">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t>w mieście wojewódzkim oraz w gminach położonych w jego miejskim obszarze funkcjonalnym</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Pr="008E7295">
              <w:rPr>
                <w:rFonts w:ascii="Arial" w:eastAsia="Calibri" w:hAnsi="Arial" w:cs="Arial"/>
                <w:sz w:val="24"/>
              </w:rPr>
              <w:t xml:space="preserve"> </w:t>
            </w:r>
          </w:p>
          <w:p w14:paraId="262B1E9B" w14:textId="77777777" w:rsidR="00D00985" w:rsidRPr="008E7295" w:rsidRDefault="00D00985" w:rsidP="00CF1BE3">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t>w innych miastach powyżej 100 tys. mieszkańców</w:t>
            </w:r>
            <w:r w:rsidRPr="008E7295">
              <w:rPr>
                <w:rFonts w:ascii="Arial" w:eastAsia="Calibri" w:hAnsi="Arial" w:cs="Arial"/>
                <w:sz w:val="24"/>
                <w:lang w:val="x-none"/>
              </w:rPr>
              <w:t xml:space="preserve"> </w:t>
            </w:r>
            <w:r w:rsidRPr="008E7295">
              <w:rPr>
                <w:rFonts w:ascii="Arial" w:eastAsia="Calibri" w:hAnsi="Arial" w:cs="Arial"/>
                <w:b/>
                <w:sz w:val="24"/>
                <w:lang w:val="x-none"/>
              </w:rPr>
              <w:t>oraz w gminach położonych w ich miejskich obszarach funkcjonalnych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Pr>
                <w:rFonts w:ascii="Arial" w:eastAsia="Calibri" w:hAnsi="Arial" w:cs="Arial"/>
                <w:sz w:val="24"/>
                <w:lang w:val="pl"/>
              </w:rPr>
              <w:t>.</w:t>
            </w:r>
            <w:r w:rsidRPr="008E7295">
              <w:rPr>
                <w:rFonts w:ascii="Arial" w:eastAsia="Calibri" w:hAnsi="Arial" w:cs="Arial"/>
                <w:sz w:val="24"/>
                <w:lang w:val="pl"/>
              </w:rPr>
              <w:t xml:space="preserve"> </w:t>
            </w:r>
            <w:r>
              <w:rPr>
                <w:rFonts w:ascii="Arial" w:eastAsia="Calibri" w:hAnsi="Arial" w:cs="Arial"/>
                <w:sz w:val="24"/>
                <w:lang w:val="pl"/>
              </w:rPr>
              <w:t>P</w:t>
            </w:r>
            <w:r w:rsidRPr="008E7295">
              <w:rPr>
                <w:rFonts w:ascii="Arial" w:eastAsia="Calibri" w:hAnsi="Arial" w:cs="Arial"/>
                <w:sz w:val="24"/>
                <w:lang w:val="pl"/>
              </w:rPr>
              <w:t>rzyznanie</w:t>
            </w:r>
            <w:r w:rsidRPr="008E7295">
              <w:rPr>
                <w:rFonts w:ascii="Arial" w:eastAsia="Calibri" w:hAnsi="Arial" w:cs="Arial"/>
                <w:sz w:val="24"/>
                <w:lang w:val="x-none"/>
              </w:rPr>
              <w:t xml:space="preserve"> 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z zakresu planowania transportu miejskiego </w:t>
            </w:r>
            <w:r w:rsidRPr="008E7295">
              <w:rPr>
                <w:rFonts w:ascii="Arial" w:eastAsia="Calibri" w:hAnsi="Arial" w:cs="Arial"/>
                <w:b/>
                <w:sz w:val="24"/>
                <w:lang w:val="x-none"/>
              </w:rPr>
              <w:t>oraz</w:t>
            </w:r>
            <w:r w:rsidRPr="008E7295">
              <w:rPr>
                <w:rFonts w:ascii="Arial" w:eastAsia="Calibri" w:hAnsi="Arial" w:cs="Arial"/>
                <w:sz w:val="24"/>
                <w:lang w:val="x-none"/>
              </w:rPr>
              <w:t xml:space="preserve"> czy wnioskodawca złożył oświadczenie, w ramach którego zobowiązuje się, że SUMP zostanie przyjęty nie później niż do 31.12.2025 r</w:t>
            </w:r>
            <w:r w:rsidRPr="008E7295">
              <w:rPr>
                <w:rFonts w:ascii="Arial" w:eastAsia="Calibri" w:hAnsi="Arial" w:cs="Arial"/>
                <w:sz w:val="24"/>
              </w:rPr>
              <w:t xml:space="preserve"> </w:t>
            </w:r>
          </w:p>
          <w:p w14:paraId="5F41E53E" w14:textId="77777777" w:rsidR="00D00985" w:rsidRPr="00396247" w:rsidRDefault="00D00985" w:rsidP="00CF1BE3">
            <w:pPr>
              <w:pStyle w:val="Akapitzlist"/>
              <w:numPr>
                <w:ilvl w:val="0"/>
                <w:numId w:val="47"/>
              </w:numPr>
              <w:autoSpaceDE w:val="0"/>
              <w:autoSpaceDN w:val="0"/>
              <w:adjustRightInd w:val="0"/>
              <w:spacing w:after="120" w:line="276" w:lineRule="auto"/>
              <w:ind w:left="738"/>
              <w:rPr>
                <w:rFonts w:ascii="Arial" w:eastAsia="Calibri" w:hAnsi="Arial" w:cs="Arial"/>
                <w:color w:val="FF0000"/>
                <w:sz w:val="24"/>
              </w:rPr>
            </w:pPr>
            <w:r w:rsidRPr="008E7295">
              <w:rPr>
                <w:rFonts w:ascii="Arial" w:eastAsia="Calibri" w:hAnsi="Arial" w:cs="Arial"/>
                <w:b/>
                <w:sz w:val="24"/>
                <w:lang w:val="x-none"/>
              </w:rPr>
              <w:t>w pozostałych miastach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 xml:space="preserve">Zespołu oceniającego powołanego w Centrum Unijnych Projektów Transportowych, w zakresie zgodności z obowiązującymi wytycznymi i zaleceniami KE oraz wymogami </w:t>
            </w:r>
            <w:r w:rsidRPr="008E7295">
              <w:rPr>
                <w:rFonts w:ascii="Arial" w:eastAsia="Calibri" w:hAnsi="Arial" w:cs="Arial"/>
                <w:sz w:val="24"/>
                <w:lang w:val="pl"/>
              </w:rPr>
              <w:lastRenderedPageBreak/>
              <w:t xml:space="preserve">właściwych przepisów dotyczących SUMP. Przyznanie </w:t>
            </w:r>
            <w:r w:rsidRPr="008E7295">
              <w:rPr>
                <w:rFonts w:ascii="Arial" w:eastAsia="Calibri" w:hAnsi="Arial" w:cs="Arial"/>
                <w:sz w:val="24"/>
                <w:lang w:val="x-none"/>
              </w:rPr>
              <w:t xml:space="preserve">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w:t>
            </w:r>
            <w:r>
              <w:rPr>
                <w:rFonts w:ascii="Arial" w:eastAsia="Calibri" w:hAnsi="Arial" w:cs="Arial"/>
                <w:sz w:val="24"/>
                <w:lang w:val="x-none"/>
              </w:rPr>
              <w:br/>
            </w:r>
            <w:r w:rsidRPr="008E7295">
              <w:rPr>
                <w:rFonts w:ascii="Arial" w:eastAsia="Calibri" w:hAnsi="Arial" w:cs="Arial"/>
                <w:sz w:val="24"/>
                <w:lang w:val="x-none"/>
              </w:rPr>
              <w:t>z zakresu planowania transportu miejskiego (np. odpowiednio dostosowanej aktualnej strategii ZIT, aktualnego Planu zrównoważonego rozwoju publicznego transportu zbiorowego zgodnego z Ustawą o publicznym transporcie zbiorowym</w:t>
            </w:r>
            <w:r>
              <w:rPr>
                <w:rFonts w:ascii="Arial" w:eastAsia="Calibri" w:hAnsi="Arial" w:cs="Arial"/>
                <w:sz w:val="24"/>
              </w:rPr>
              <w:t>)</w:t>
            </w:r>
            <w:r w:rsidRPr="008E7295">
              <w:rPr>
                <w:rFonts w:ascii="Arial" w:eastAsia="Calibri" w:hAnsi="Arial" w:cs="Arial"/>
                <w:sz w:val="24"/>
                <w:lang w:val="x-none"/>
              </w:rPr>
              <w:t xml:space="preserve"> lub innego dokumentu, o ile zawiera on elementy </w:t>
            </w:r>
            <w:r>
              <w:rPr>
                <w:rFonts w:ascii="Arial" w:eastAsia="Calibri" w:hAnsi="Arial" w:cs="Arial"/>
                <w:sz w:val="24"/>
                <w:lang w:val="x-none"/>
              </w:rPr>
              <w:br/>
            </w:r>
            <w:r w:rsidRPr="008E7295">
              <w:rPr>
                <w:rFonts w:ascii="Arial" w:eastAsia="Calibri" w:hAnsi="Arial" w:cs="Arial"/>
                <w:sz w:val="24"/>
                <w:lang w:val="x-none"/>
              </w:rPr>
              <w:t>z zakresu planowania transportu miejskiego, przyjętego uchwałą właściwego organu</w:t>
            </w:r>
            <w:r w:rsidRPr="008E7295">
              <w:rPr>
                <w:rFonts w:ascii="Arial" w:eastAsia="Calibri" w:hAnsi="Arial" w:cs="Arial"/>
                <w:sz w:val="24"/>
              </w:rPr>
              <w:t xml:space="preserve">. </w:t>
            </w:r>
          </w:p>
        </w:tc>
      </w:tr>
      <w:tr w:rsidR="00D00985" w:rsidRPr="00067DDD" w14:paraId="5D3EC2BA"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07EC9B38" w14:textId="77777777" w:rsidR="00D00985" w:rsidRDefault="00D00985" w:rsidP="00D00985">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lastRenderedPageBreak/>
              <w:t>Część F Zadania i koszty lub Pkt B.1.4 Opis projektu</w:t>
            </w:r>
            <w:r>
              <w:t xml:space="preserve"> </w:t>
            </w:r>
            <w:r w:rsidRPr="00067DDD">
              <w:rPr>
                <w:rFonts w:ascii="Arial" w:hAnsi="Arial" w:cs="Arial"/>
                <w:b/>
                <w:sz w:val="24"/>
                <w:szCs w:val="24"/>
              </w:rPr>
              <w:t xml:space="preserve">lub </w:t>
            </w:r>
            <w:r w:rsidRPr="00067DDD">
              <w:rPr>
                <w:rFonts w:ascii="Arial" w:eastAsia="Calibri" w:hAnsi="Arial" w:cs="Arial"/>
                <w:b/>
                <w:sz w:val="24"/>
                <w:szCs w:val="24"/>
              </w:rPr>
              <w:t>U</w:t>
            </w:r>
            <w:r w:rsidRPr="00067DDD">
              <w:rPr>
                <w:rFonts w:ascii="Arial" w:eastAsia="Calibri" w:hAnsi="Arial" w:cs="Arial"/>
                <w:b/>
                <w:sz w:val="24"/>
              </w:rPr>
              <w:t xml:space="preserve"> Informacje specyficzne</w:t>
            </w:r>
          </w:p>
          <w:p w14:paraId="1B0B65EC" w14:textId="77777777" w:rsidR="00D00985" w:rsidRPr="00067DDD" w:rsidRDefault="00D00985" w:rsidP="00D00985">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1F51D984" w14:textId="77777777" w:rsidR="00D00985" w:rsidRPr="000A2128" w:rsidRDefault="00D00985" w:rsidP="00D00985">
            <w:pPr>
              <w:pStyle w:val="Akapitzlist"/>
              <w:numPr>
                <w:ilvl w:val="3"/>
                <w:numId w:val="29"/>
              </w:numPr>
              <w:autoSpaceDE w:val="0"/>
              <w:autoSpaceDN w:val="0"/>
              <w:adjustRightInd w:val="0"/>
              <w:spacing w:after="120" w:line="276" w:lineRule="auto"/>
              <w:ind w:left="313" w:hanging="284"/>
              <w:rPr>
                <w:rFonts w:ascii="Arial" w:eastAsia="Calibri" w:hAnsi="Arial" w:cs="Arial"/>
                <w:sz w:val="24"/>
              </w:rPr>
            </w:pPr>
            <w:r w:rsidRPr="000A2128">
              <w:rPr>
                <w:rFonts w:ascii="Arial" w:eastAsia="Calibri" w:hAnsi="Arial" w:cs="Arial"/>
                <w:sz w:val="24"/>
              </w:rPr>
              <w:t xml:space="preserve">Należy przedstawić informacje nt. wpływu projektu na podniesienie </w:t>
            </w:r>
            <w:r w:rsidRPr="000A2128">
              <w:rPr>
                <w:rFonts w:ascii="Arial" w:eastAsia="Calibri" w:hAnsi="Arial" w:cs="Arial"/>
                <w:b/>
                <w:sz w:val="24"/>
              </w:rPr>
              <w:t>bezpieczeństwa, a w konsekwencji i komfortu podróżnych</w:t>
            </w:r>
            <w:r w:rsidRPr="000A2128">
              <w:rPr>
                <w:rFonts w:ascii="Arial" w:eastAsia="Calibri" w:hAnsi="Arial" w:cs="Arial"/>
                <w:sz w:val="24"/>
              </w:rPr>
              <w:t xml:space="preserve">. </w:t>
            </w:r>
          </w:p>
          <w:p w14:paraId="22125B12" w14:textId="77777777" w:rsidR="00D00985" w:rsidRPr="00067DDD" w:rsidRDefault="00D00985" w:rsidP="00D00985">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Informacje te powinny odnosić się do praktycznych rozwiązań przewidywanych do zastosowania w ramach projektu, mających na celu podniesienie poziomu bezpieczeństwa podróżnych, dostosowane do jego zakresu i charakteru. </w:t>
            </w:r>
          </w:p>
          <w:p w14:paraId="353C8B45" w14:textId="77777777" w:rsidR="00D00985" w:rsidRPr="00067DDD" w:rsidRDefault="00D00985" w:rsidP="00D00985">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Jako przykłady takich rozwiązań można wskazać m.in.:</w:t>
            </w:r>
          </w:p>
          <w:p w14:paraId="6EB7A5B6" w14:textId="77777777" w:rsidR="00D00985" w:rsidRPr="00067DDD" w:rsidRDefault="00D00985" w:rsidP="00CF1BE3">
            <w:pPr>
              <w:pStyle w:val="Akapitzlist"/>
              <w:numPr>
                <w:ilvl w:val="0"/>
                <w:numId w:val="49"/>
              </w:num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systemy monitoringu wizyjnego, które pomagają m.in. w rejestracji zagrożeń i identyfikacji osób stwarzających zagrożenie, a w przypadku taboru poszerzające również pole obserwacji pojazdu przez kierowcę;</w:t>
            </w:r>
          </w:p>
          <w:p w14:paraId="165D3A8B"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nowoczesne systemy łączności z funkcją satelitarnej lokalizacji pojazdu;</w:t>
            </w:r>
          </w:p>
          <w:p w14:paraId="119BB10E"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urządzenia zwiększające widoczność w nocy lub ostrzegające przed zderzeniami oraz zaśnięciem za kierownicą</w:t>
            </w:r>
          </w:p>
          <w:p w14:paraId="1CE40F4D"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 xml:space="preserve">poprawę widoczności np. poprzez lepsze oświetlenie wnętrza pojazdu/obiektu infrastrukturalnego </w:t>
            </w:r>
          </w:p>
          <w:p w14:paraId="742BACB3"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infrastrukturalne (np. przystankowe) zwiększające bezpieczeństwo;</w:t>
            </w:r>
          </w:p>
          <w:p w14:paraId="4A8D43EA"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z zakresu organizacji ruch w tym również z wykorzystaniem ITS;</w:t>
            </w:r>
          </w:p>
          <w:p w14:paraId="28734FA3"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montaż urządzeń alarmujących, dających możliwość szybkiego kontaktu ze służbami ratunkowymi;</w:t>
            </w:r>
          </w:p>
          <w:p w14:paraId="6AC2DBB5"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automatyczna detekcja rowerzystów na przejściach dla pieszych;</w:t>
            </w:r>
          </w:p>
          <w:p w14:paraId="50739122"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odpowiednia szerokość dróg rowerowych/ ciągów pieszo-rowerowych oraz wyposażenie ich w niskie krawężniki, odpowiednie oznakowanie poziome tych ciągów komunikacyjnych, np. gwarantujące dobrą widoczność w nocy;</w:t>
            </w:r>
          </w:p>
          <w:p w14:paraId="7C93B225" w14:textId="77777777" w:rsidR="00D00985" w:rsidRPr="00067DDD"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zastosowanie nawierzchni asfaltowej na drodze dla rowerów;</w:t>
            </w:r>
          </w:p>
          <w:p w14:paraId="49262BC1" w14:textId="77777777" w:rsidR="00D00985" w:rsidRDefault="00D00985" w:rsidP="00CF1BE3">
            <w:pPr>
              <w:pStyle w:val="Akapitzlist"/>
              <w:numPr>
                <w:ilvl w:val="1"/>
                <w:numId w:val="48"/>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wprowadzenie płatności bezpośredniej dla użytkowników stacji ładowania pojazdów elektrycznych.</w:t>
            </w:r>
          </w:p>
          <w:p w14:paraId="58695DC2" w14:textId="77777777" w:rsidR="00D00985" w:rsidRPr="0035114E" w:rsidRDefault="00D00985" w:rsidP="00CF1BE3">
            <w:pPr>
              <w:pStyle w:val="Akapitzlist"/>
              <w:numPr>
                <w:ilvl w:val="0"/>
                <w:numId w:val="48"/>
              </w:numPr>
              <w:autoSpaceDE w:val="0"/>
              <w:autoSpaceDN w:val="0"/>
              <w:adjustRightInd w:val="0"/>
              <w:spacing w:after="120" w:line="276" w:lineRule="auto"/>
              <w:rPr>
                <w:rFonts w:ascii="Arial" w:eastAsia="Calibri" w:hAnsi="Arial" w:cs="Arial"/>
                <w:sz w:val="24"/>
              </w:rPr>
            </w:pPr>
            <w:r>
              <w:rPr>
                <w:rFonts w:ascii="Arial" w:eastAsia="Calibri" w:hAnsi="Arial" w:cs="Arial"/>
                <w:sz w:val="24"/>
              </w:rPr>
              <w:lastRenderedPageBreak/>
              <w:t>Należy przedstawić deklarację potwierdzającą, że n</w:t>
            </w:r>
            <w:r w:rsidRPr="0035114E">
              <w:rPr>
                <w:rFonts w:ascii="Arial" w:eastAsia="Calibri" w:hAnsi="Arial" w:cs="Arial"/>
                <w:sz w:val="24"/>
              </w:rPr>
              <w:t>abywany tabor, a także bud</w:t>
            </w:r>
            <w:r>
              <w:rPr>
                <w:rFonts w:ascii="Arial" w:eastAsia="Calibri" w:hAnsi="Arial" w:cs="Arial"/>
                <w:sz w:val="24"/>
              </w:rPr>
              <w:t>owana</w:t>
            </w:r>
            <w:r w:rsidRPr="0035114E">
              <w:rPr>
                <w:rFonts w:ascii="Arial" w:eastAsia="Calibri" w:hAnsi="Arial" w:cs="Arial"/>
                <w:sz w:val="24"/>
              </w:rPr>
              <w:t>, przebud</w:t>
            </w:r>
            <w:r>
              <w:rPr>
                <w:rFonts w:ascii="Arial" w:eastAsia="Calibri" w:hAnsi="Arial" w:cs="Arial"/>
                <w:sz w:val="24"/>
              </w:rPr>
              <w:t>owywana</w:t>
            </w:r>
            <w:r w:rsidRPr="0035114E">
              <w:rPr>
                <w:rFonts w:ascii="Arial" w:eastAsia="Calibri" w:hAnsi="Arial" w:cs="Arial"/>
                <w:sz w:val="24"/>
              </w:rPr>
              <w:t xml:space="preserve"> lub </w:t>
            </w:r>
            <w:r>
              <w:rPr>
                <w:rFonts w:ascii="Arial" w:eastAsia="Calibri" w:hAnsi="Arial" w:cs="Arial"/>
                <w:sz w:val="24"/>
              </w:rPr>
              <w:t>rozbudowywana infrastruktura</w:t>
            </w:r>
            <w:r w:rsidRPr="0035114E">
              <w:rPr>
                <w:rFonts w:ascii="Arial" w:eastAsia="Calibri" w:hAnsi="Arial" w:cs="Arial"/>
                <w:sz w:val="24"/>
              </w:rPr>
              <w:t xml:space="preserve"> obsługi podróżnych</w:t>
            </w:r>
            <w:r>
              <w:rPr>
                <w:rFonts w:ascii="Arial" w:eastAsia="Calibri" w:hAnsi="Arial" w:cs="Arial"/>
                <w:sz w:val="24"/>
              </w:rPr>
              <w:t>,</w:t>
            </w:r>
            <w:r w:rsidRPr="0035114E">
              <w:rPr>
                <w:rFonts w:ascii="Arial" w:eastAsia="Calibri" w:hAnsi="Arial" w:cs="Arial"/>
                <w:sz w:val="24"/>
              </w:rPr>
              <w:t xml:space="preserve"> będzie </w:t>
            </w:r>
            <w:r>
              <w:rPr>
                <w:rFonts w:ascii="Arial" w:eastAsia="Calibri" w:hAnsi="Arial" w:cs="Arial"/>
                <w:sz w:val="24"/>
              </w:rPr>
              <w:t>uwzględniać potrzeby osób</w:t>
            </w:r>
            <w:r w:rsidRPr="0035114E">
              <w:rPr>
                <w:rFonts w:ascii="Arial" w:eastAsia="Calibri" w:hAnsi="Arial" w:cs="Arial"/>
                <w:sz w:val="24"/>
              </w:rPr>
              <w:t xml:space="preserve"> o ograniczonej mobilności.</w:t>
            </w:r>
            <w:r>
              <w:rPr>
                <w:rFonts w:ascii="Arial" w:eastAsia="Calibri" w:hAnsi="Arial" w:cs="Arial"/>
                <w:sz w:val="24"/>
              </w:rPr>
              <w:t xml:space="preserve"> Rozwinięcie przedmiotowej deklaracji należy zawrzeć w części M.2 wniosku.</w:t>
            </w:r>
          </w:p>
        </w:tc>
      </w:tr>
      <w:tr w:rsidR="00D00985" w:rsidRPr="00396247" w14:paraId="61EEB809"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4BC13EF3" w14:textId="77777777" w:rsidR="00D00985" w:rsidRDefault="00D00985" w:rsidP="00D00985">
            <w:pPr>
              <w:autoSpaceDE w:val="0"/>
              <w:autoSpaceDN w:val="0"/>
              <w:adjustRightInd w:val="0"/>
              <w:spacing w:after="120" w:line="276" w:lineRule="auto"/>
              <w:rPr>
                <w:rFonts w:ascii="Arial" w:eastAsia="Calibri" w:hAnsi="Arial" w:cs="Arial"/>
                <w:b/>
                <w:sz w:val="24"/>
              </w:rPr>
            </w:pPr>
            <w:r w:rsidRPr="00D27859">
              <w:rPr>
                <w:rFonts w:ascii="Arial" w:eastAsia="Calibri" w:hAnsi="Arial" w:cs="Arial"/>
                <w:b/>
                <w:sz w:val="24"/>
              </w:rPr>
              <w:lastRenderedPageBreak/>
              <w:t>Część F Zadania i koszty lub Pkt B.1.4 Opis projektu</w:t>
            </w:r>
            <w:r>
              <w:rPr>
                <w:rFonts w:ascii="Arial" w:eastAsia="Calibri" w:hAnsi="Arial" w:cs="Arial"/>
                <w:b/>
                <w:sz w:val="24"/>
              </w:rPr>
              <w:t xml:space="preserve"> lub </w:t>
            </w:r>
            <w:r w:rsidRPr="00EB2BBD">
              <w:rPr>
                <w:rFonts w:ascii="Arial" w:eastAsia="Calibri" w:hAnsi="Arial" w:cs="Arial"/>
                <w:b/>
                <w:sz w:val="24"/>
              </w:rPr>
              <w:t>U Informacje specyficzne</w:t>
            </w:r>
          </w:p>
          <w:p w14:paraId="4F98C0E6" w14:textId="77777777" w:rsidR="00D00985" w:rsidRPr="00D27859" w:rsidRDefault="00D00985" w:rsidP="00D00985">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T</w:t>
            </w:r>
            <w:r w:rsidRPr="00C57A87">
              <w:rPr>
                <w:rFonts w:ascii="Arial" w:eastAsia="Calibri" w:hAnsi="Arial" w:cs="Arial"/>
                <w:b/>
                <w:sz w:val="24"/>
              </w:rPr>
              <w:t>yp projektu A. Transport miejski</w:t>
            </w:r>
          </w:p>
          <w:p w14:paraId="322D227B" w14:textId="77777777" w:rsidR="00D00985" w:rsidRPr="00D27859" w:rsidRDefault="00D00985" w:rsidP="00D00985">
            <w:pPr>
              <w:autoSpaceDE w:val="0"/>
              <w:autoSpaceDN w:val="0"/>
              <w:adjustRightInd w:val="0"/>
              <w:spacing w:after="120" w:line="276" w:lineRule="auto"/>
              <w:rPr>
                <w:rFonts w:ascii="Arial" w:eastAsia="Calibri" w:hAnsi="Arial" w:cs="Arial"/>
                <w:sz w:val="24"/>
              </w:rPr>
            </w:pPr>
            <w:r w:rsidRPr="00D27859">
              <w:rPr>
                <w:rFonts w:ascii="Arial" w:eastAsia="Calibri" w:hAnsi="Arial" w:cs="Arial"/>
                <w:sz w:val="24"/>
                <w:szCs w:val="24"/>
              </w:rPr>
              <w:t>W przypadku gdy elementem projektu będzie:</w:t>
            </w:r>
          </w:p>
          <w:p w14:paraId="089083E1" w14:textId="77777777" w:rsidR="00D00985" w:rsidRPr="005257E4" w:rsidRDefault="00D00985" w:rsidP="00CF1BE3">
            <w:pPr>
              <w:pStyle w:val="Akapitzlist"/>
              <w:numPr>
                <w:ilvl w:val="0"/>
                <w:numId w:val="50"/>
              </w:numPr>
              <w:autoSpaceDE w:val="0"/>
              <w:autoSpaceDN w:val="0"/>
              <w:adjustRightInd w:val="0"/>
              <w:spacing w:after="120" w:line="276" w:lineRule="auto"/>
              <w:rPr>
                <w:rFonts w:ascii="Arial" w:eastAsia="Calibri" w:hAnsi="Arial" w:cs="Arial"/>
                <w:sz w:val="24"/>
              </w:rPr>
            </w:pPr>
            <w:r w:rsidRPr="005257E4">
              <w:rPr>
                <w:rFonts w:ascii="Arial" w:eastAsia="Calibri" w:hAnsi="Arial" w:cs="Arial"/>
                <w:b/>
                <w:sz w:val="24"/>
                <w:szCs w:val="24"/>
              </w:rPr>
              <w:t>zakup taboru autobusowego</w:t>
            </w:r>
            <w:r w:rsidRPr="005257E4">
              <w:rPr>
                <w:rFonts w:ascii="Arial" w:eastAsia="Calibri" w:hAnsi="Arial" w:cs="Arial"/>
                <w:sz w:val="24"/>
                <w:szCs w:val="24"/>
              </w:rPr>
              <w:t>, należy w opisie działania wykazać, że projekt obejmuje nabycie</w:t>
            </w:r>
            <w:r w:rsidRPr="005257E4">
              <w:rPr>
                <w:rFonts w:ascii="Arial" w:eastAsia="Calibri" w:hAnsi="Arial" w:cs="Arial"/>
                <w:b/>
                <w:sz w:val="24"/>
                <w:szCs w:val="24"/>
              </w:rPr>
              <w:t xml:space="preserve"> zero- lub niskoemisyjnego taboru autob</w:t>
            </w:r>
            <w:r>
              <w:rPr>
                <w:rFonts w:ascii="Arial" w:eastAsia="Calibri" w:hAnsi="Arial" w:cs="Arial"/>
                <w:b/>
                <w:sz w:val="24"/>
                <w:szCs w:val="24"/>
              </w:rPr>
              <w:t>usowego</w:t>
            </w:r>
            <w:r w:rsidRPr="005257E4">
              <w:rPr>
                <w:rFonts w:ascii="Arial" w:eastAsia="Calibri" w:hAnsi="Arial" w:cs="Arial"/>
                <w:b/>
                <w:sz w:val="24"/>
                <w:szCs w:val="24"/>
              </w:rPr>
              <w:t xml:space="preserve"> dla połączeń miejskich i podmiejskich</w:t>
            </w:r>
            <w:r w:rsidRPr="005257E4">
              <w:rPr>
                <w:rFonts w:ascii="Arial" w:eastAsia="Calibri" w:hAnsi="Arial" w:cs="Arial"/>
                <w:sz w:val="24"/>
                <w:szCs w:val="24"/>
              </w:rPr>
              <w:t>.</w:t>
            </w:r>
          </w:p>
          <w:p w14:paraId="2B20153F" w14:textId="77777777" w:rsidR="00D00985" w:rsidRPr="005257E4" w:rsidRDefault="00D00985" w:rsidP="00D00985">
            <w:pPr>
              <w:pStyle w:val="Akapitzlist"/>
              <w:autoSpaceDE w:val="0"/>
              <w:autoSpaceDN w:val="0"/>
              <w:adjustRightInd w:val="0"/>
              <w:spacing w:after="120" w:line="276" w:lineRule="auto"/>
              <w:ind w:left="357"/>
              <w:rPr>
                <w:rFonts w:ascii="Arial" w:hAnsi="Arial" w:cs="Arial"/>
                <w:sz w:val="24"/>
                <w:szCs w:val="24"/>
              </w:rPr>
            </w:pPr>
            <w:r w:rsidRPr="005257E4">
              <w:rPr>
                <w:rFonts w:ascii="Arial" w:hAnsi="Arial" w:cs="Arial"/>
                <w:sz w:val="24"/>
                <w:szCs w:val="24"/>
              </w:rPr>
              <w:t>Autobusem zeroemisyjnym jest “autobus” w rozumieniu art. 2 pkt. 41 ust. Prawo o ruchu drogowym</w:t>
            </w:r>
            <w:r>
              <w:rPr>
                <w:rFonts w:ascii="Arial" w:hAnsi="Arial" w:cs="Arial"/>
                <w:sz w:val="24"/>
                <w:szCs w:val="24"/>
              </w:rPr>
              <w:t>,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których mowa w ustawie z dnia 17 lipca 2009 r. o systemie zarządzania emisjami gazów cieplarnianych i innych substancji</w:t>
            </w:r>
            <w:r w:rsidRPr="005257E4">
              <w:rPr>
                <w:rFonts w:ascii="Arial" w:hAnsi="Arial" w:cs="Arial"/>
                <w:sz w:val="24"/>
                <w:szCs w:val="24"/>
              </w:rPr>
              <w:t xml:space="preserve"> oraz trolejbus w rozumieniu art. 2 pkt 83 ust. Prawo o ruchu drogowym.</w:t>
            </w:r>
          </w:p>
          <w:p w14:paraId="08DBE8CF" w14:textId="77777777" w:rsidR="00D00985" w:rsidRPr="005F3214" w:rsidRDefault="00D00985" w:rsidP="00D00985">
            <w:pPr>
              <w:pStyle w:val="Akapitzlist"/>
              <w:autoSpaceDE w:val="0"/>
              <w:autoSpaceDN w:val="0"/>
              <w:adjustRightInd w:val="0"/>
              <w:spacing w:after="120" w:line="276" w:lineRule="auto"/>
              <w:ind w:left="357"/>
              <w:contextualSpacing w:val="0"/>
              <w:rPr>
                <w:rFonts w:ascii="Arial" w:eastAsia="Calibri" w:hAnsi="Arial" w:cs="Arial"/>
                <w:sz w:val="24"/>
              </w:rPr>
            </w:pPr>
            <w:r w:rsidRPr="005F3214">
              <w:rPr>
                <w:rFonts w:ascii="Arial" w:eastAsia="Calibri" w:hAnsi="Arial" w:cs="Arial"/>
                <w:sz w:val="24"/>
                <w:szCs w:val="24"/>
              </w:rPr>
              <w:t>W przypadku zakupu taboru należy również wykazać czy będzie on</w:t>
            </w:r>
            <w:r w:rsidRPr="005F3214">
              <w:rPr>
                <w:rFonts w:ascii="Arial" w:eastAsia="Calibri" w:hAnsi="Arial" w:cs="Arial"/>
                <w:sz w:val="24"/>
              </w:rPr>
              <w:t xml:space="preserve"> wykorzystywany w komunikacji pozamiejskiej, czy też w komunikacji miejskiej lub metropolitarnej. W przypadku wykorzystywania go w komunikacji pozamiejskiej lub metropolitarnej należy przedstawić, jako załącznik do wniosku, </w:t>
            </w:r>
            <w:r w:rsidRPr="005F3214">
              <w:rPr>
                <w:rFonts w:ascii="Arial" w:eastAsia="Calibri" w:hAnsi="Arial" w:cs="Arial"/>
                <w:b/>
                <w:sz w:val="24"/>
              </w:rPr>
              <w:t>dokumenty potwierdzające zawarcie porozumienia lub utworzenia związku międzygminnego, w celu wspólnej realizacji publicznego transportu zbiorowego.</w:t>
            </w:r>
          </w:p>
          <w:p w14:paraId="777EF548" w14:textId="77777777" w:rsidR="00D00985" w:rsidRDefault="00D00985" w:rsidP="00CF1BE3">
            <w:pPr>
              <w:pStyle w:val="Akapitzlist"/>
              <w:numPr>
                <w:ilvl w:val="0"/>
                <w:numId w:val="50"/>
              </w:numPr>
              <w:autoSpaceDE w:val="0"/>
              <w:autoSpaceDN w:val="0"/>
              <w:adjustRightInd w:val="0"/>
              <w:spacing w:after="120" w:line="276" w:lineRule="auto"/>
              <w:rPr>
                <w:rFonts w:ascii="Arial" w:eastAsia="Calibri" w:hAnsi="Arial" w:cs="Arial"/>
                <w:sz w:val="24"/>
              </w:rPr>
            </w:pPr>
            <w:r w:rsidRPr="001F06DB">
              <w:rPr>
                <w:rFonts w:ascii="Arial" w:eastAsia="Calibri" w:hAnsi="Arial" w:cs="Arial"/>
                <w:sz w:val="24"/>
              </w:rPr>
              <w:t xml:space="preserve">budowa, przebudowa oraz wyposażenie zaplecza technicznego służącego do obsługi i eksploatacji nisko- i zeroemisyjnego </w:t>
            </w:r>
            <w:r>
              <w:rPr>
                <w:rFonts w:ascii="Arial" w:eastAsia="Calibri" w:hAnsi="Arial" w:cs="Arial"/>
                <w:sz w:val="24"/>
              </w:rPr>
              <w:t>t</w:t>
            </w:r>
            <w:r w:rsidRPr="001F06DB">
              <w:rPr>
                <w:rFonts w:ascii="Arial" w:eastAsia="Calibri" w:hAnsi="Arial" w:cs="Arial"/>
                <w:sz w:val="24"/>
              </w:rPr>
              <w:t xml:space="preserve">aboru autobusowego transportu publicznego. </w:t>
            </w:r>
          </w:p>
          <w:p w14:paraId="5C94D22D" w14:textId="77777777" w:rsidR="00D00985" w:rsidRPr="001F06DB" w:rsidRDefault="00D00985" w:rsidP="00CF1BE3">
            <w:pPr>
              <w:pStyle w:val="Akapitzlist"/>
              <w:numPr>
                <w:ilvl w:val="0"/>
                <w:numId w:val="60"/>
              </w:numPr>
              <w:autoSpaceDE w:val="0"/>
              <w:autoSpaceDN w:val="0"/>
              <w:adjustRightInd w:val="0"/>
              <w:spacing w:after="120" w:line="276" w:lineRule="auto"/>
              <w:ind w:left="738" w:hanging="284"/>
              <w:rPr>
                <w:rFonts w:ascii="Arial" w:eastAsia="Calibri" w:hAnsi="Arial" w:cs="Arial"/>
                <w:sz w:val="24"/>
              </w:rPr>
            </w:pPr>
            <w:r>
              <w:rPr>
                <w:rFonts w:ascii="Arial" w:eastAsia="Calibri" w:hAnsi="Arial" w:cs="Arial"/>
                <w:sz w:val="24"/>
              </w:rPr>
              <w:t>n</w:t>
            </w:r>
            <w:r w:rsidRPr="001F06DB">
              <w:rPr>
                <w:rFonts w:ascii="Arial" w:eastAsia="Calibri" w:hAnsi="Arial" w:cs="Arial"/>
                <w:sz w:val="24"/>
              </w:rPr>
              <w:t xml:space="preserve">ależy przedstawić uzasadnienie realizacji inwestycji w oparciu </w:t>
            </w:r>
            <w:r>
              <w:rPr>
                <w:rFonts w:ascii="Arial" w:eastAsia="Calibri" w:hAnsi="Arial" w:cs="Arial"/>
                <w:sz w:val="24"/>
              </w:rPr>
              <w:br/>
            </w:r>
            <w:r w:rsidRPr="001F06DB">
              <w:rPr>
                <w:rFonts w:ascii="Arial" w:eastAsia="Calibri" w:hAnsi="Arial" w:cs="Arial"/>
                <w:sz w:val="24"/>
              </w:rPr>
              <w:t xml:space="preserve">o </w:t>
            </w:r>
            <w:r>
              <w:rPr>
                <w:rFonts w:ascii="Arial" w:eastAsia="Calibri" w:hAnsi="Arial" w:cs="Arial"/>
                <w:sz w:val="24"/>
              </w:rPr>
              <w:t>wymagania związane z</w:t>
            </w:r>
            <w:r w:rsidRPr="001F06DB">
              <w:rPr>
                <w:rFonts w:ascii="Arial" w:eastAsia="Calibri" w:hAnsi="Arial" w:cs="Arial"/>
                <w:sz w:val="24"/>
              </w:rPr>
              <w:t xml:space="preserve"> posiadanym już taborem nisko- lub zeroemisyjnym lub</w:t>
            </w:r>
            <w:r>
              <w:rPr>
                <w:rFonts w:ascii="Arial" w:eastAsia="Calibri" w:hAnsi="Arial" w:cs="Arial"/>
                <w:sz w:val="24"/>
              </w:rPr>
              <w:t xml:space="preserve"> realizowanym projektem</w:t>
            </w:r>
            <w:r w:rsidRPr="001F06DB">
              <w:rPr>
                <w:rFonts w:ascii="Arial" w:eastAsia="Calibri" w:hAnsi="Arial" w:cs="Arial"/>
                <w:sz w:val="24"/>
              </w:rPr>
              <w:t xml:space="preserve"> z zakresu nabycia ww. taboru</w:t>
            </w:r>
            <w:r>
              <w:rPr>
                <w:rFonts w:ascii="Arial" w:eastAsia="Calibri" w:hAnsi="Arial" w:cs="Arial"/>
                <w:sz w:val="24"/>
              </w:rPr>
              <w:t>.</w:t>
            </w:r>
          </w:p>
          <w:p w14:paraId="544FEE79" w14:textId="77777777" w:rsidR="00D00985" w:rsidRPr="00EB2BBD" w:rsidRDefault="00D00985" w:rsidP="00CF1BE3">
            <w:pPr>
              <w:pStyle w:val="Akapitzlist"/>
              <w:numPr>
                <w:ilvl w:val="0"/>
                <w:numId w:val="50"/>
              </w:numPr>
              <w:autoSpaceDE w:val="0"/>
              <w:autoSpaceDN w:val="0"/>
              <w:adjustRightInd w:val="0"/>
              <w:spacing w:after="120" w:line="276" w:lineRule="auto"/>
              <w:rPr>
                <w:rFonts w:ascii="Arial" w:eastAsia="Calibri" w:hAnsi="Arial" w:cs="Arial"/>
                <w:sz w:val="24"/>
              </w:rPr>
            </w:pPr>
            <w:r w:rsidRPr="00EB2BBD">
              <w:rPr>
                <w:rFonts w:ascii="Arial" w:eastAsia="Calibri" w:hAnsi="Arial" w:cs="Arial"/>
                <w:b/>
                <w:sz w:val="24"/>
              </w:rPr>
              <w:t>obiekt typu „parkuj i jedź” (</w:t>
            </w:r>
            <w:r w:rsidRPr="00EB2BBD">
              <w:rPr>
                <w:rFonts w:ascii="Arial" w:eastAsia="Calibri" w:hAnsi="Arial" w:cs="Arial"/>
                <w:b/>
                <w:sz w:val="24"/>
                <w:u w:val="single"/>
              </w:rPr>
              <w:t>Park&amp;Ride)</w:t>
            </w:r>
            <w:r w:rsidRPr="00EB2BBD">
              <w:rPr>
                <w:rFonts w:ascii="Arial" w:eastAsia="Calibri" w:hAnsi="Arial" w:cs="Arial"/>
                <w:b/>
                <w:sz w:val="24"/>
              </w:rPr>
              <w:t xml:space="preserve"> </w:t>
            </w:r>
            <w:r w:rsidRPr="00EB2BBD">
              <w:rPr>
                <w:rFonts w:ascii="Arial" w:eastAsia="Calibri" w:hAnsi="Arial" w:cs="Arial"/>
                <w:sz w:val="24"/>
              </w:rPr>
              <w:t xml:space="preserve">należy: </w:t>
            </w:r>
          </w:p>
          <w:p w14:paraId="197C87E7" w14:textId="77777777" w:rsidR="00D00985" w:rsidRPr="00EB2BBD" w:rsidRDefault="00D00985" w:rsidP="00CF1BE3">
            <w:pPr>
              <w:pStyle w:val="Akapitzlist"/>
              <w:numPr>
                <w:ilvl w:val="0"/>
                <w:numId w:val="51"/>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potwierdzić, że P&amp;R zlokalizowane będą w miejscach, w których zapewniona jest odpowiednia integracja z transportem zbiorowym oraz czy w miastach powyżej 50 tys. mieszkańców będą one zlokalizowania poza obszarem zabudowy śródmiejskiej, wyznaczonym w miejscowym planie zagospodarowania przestrzennego, a w przypadku jego braku, w studium uwarunkowań i kierunków zagospodarowania przestrzennego gminy lub planie ogólnym gminy,</w:t>
            </w:r>
          </w:p>
          <w:p w14:paraId="59766AA1" w14:textId="77777777" w:rsidR="00D00985" w:rsidRPr="00EB2BBD" w:rsidRDefault="00D00985" w:rsidP="00CF1BE3">
            <w:pPr>
              <w:pStyle w:val="Akapitzlist"/>
              <w:numPr>
                <w:ilvl w:val="0"/>
                <w:numId w:val="51"/>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lastRenderedPageBreak/>
              <w:t xml:space="preserve">potwierdzić czy zapewniono miejsca parkingowe dla rowerów oraz obowiązkowy punkt / punkty ładowania pojazdów elektrycznych (należy wskazać liczbę wyżej wymienionych elementów), </w:t>
            </w:r>
          </w:p>
          <w:p w14:paraId="2EE587CB" w14:textId="77777777" w:rsidR="00D00985" w:rsidRPr="00EB2BBD" w:rsidRDefault="00D00985" w:rsidP="00CF1BE3">
            <w:pPr>
              <w:pStyle w:val="Akapitzlist"/>
              <w:numPr>
                <w:ilvl w:val="0"/>
                <w:numId w:val="51"/>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przedstawić informację nt. odległości do przystanku komunikacji zbiorowej (dogodna droga dojścia),</w:t>
            </w:r>
          </w:p>
          <w:p w14:paraId="36974067" w14:textId="77777777" w:rsidR="00D00985" w:rsidRPr="00EB2BBD" w:rsidRDefault="00D00985" w:rsidP="00CF1BE3">
            <w:pPr>
              <w:pStyle w:val="Akapitzlist"/>
              <w:numPr>
                <w:ilvl w:val="0"/>
                <w:numId w:val="51"/>
              </w:numPr>
              <w:autoSpaceDE w:val="0"/>
              <w:autoSpaceDN w:val="0"/>
              <w:adjustRightInd w:val="0"/>
              <w:spacing w:after="120" w:line="276" w:lineRule="auto"/>
              <w:ind w:left="738"/>
              <w:rPr>
                <w:rFonts w:ascii="Arial" w:eastAsia="Calibri" w:hAnsi="Arial" w:cs="Arial"/>
                <w:sz w:val="24"/>
              </w:rPr>
            </w:pPr>
            <w:r w:rsidRPr="00EB2BBD">
              <w:rPr>
                <w:rFonts w:ascii="Arial" w:eastAsia="Times New Roman" w:hAnsi="Arial" w:cs="Arial"/>
                <w:sz w:val="24"/>
                <w:szCs w:val="24"/>
                <w:lang w:eastAsia="pl-PL"/>
              </w:rPr>
              <w:t xml:space="preserve">przedstawić informacje wskazujące, że parking wykorzystywany będzie wyłącznie na potrzeby osób parkujących samochód i przesiadających się na środek komunikacji zbiorowej. </w:t>
            </w:r>
          </w:p>
          <w:p w14:paraId="638E7819" w14:textId="77777777" w:rsidR="00D00985" w:rsidRPr="00EB2BBD" w:rsidRDefault="00D00985" w:rsidP="00D00985">
            <w:pPr>
              <w:pStyle w:val="Akapitzlist"/>
              <w:autoSpaceDE w:val="0"/>
              <w:autoSpaceDN w:val="0"/>
              <w:adjustRightInd w:val="0"/>
              <w:spacing w:after="120" w:line="276" w:lineRule="auto"/>
              <w:ind w:left="738"/>
              <w:rPr>
                <w:rFonts w:ascii="Arial" w:eastAsia="Times New Roman" w:hAnsi="Arial" w:cs="Arial"/>
                <w:b/>
                <w:sz w:val="24"/>
                <w:szCs w:val="24"/>
                <w:lang w:eastAsia="pl-PL"/>
              </w:rPr>
            </w:pPr>
            <w:r w:rsidRPr="00EB2BBD">
              <w:rPr>
                <w:rFonts w:ascii="Arial" w:eastAsia="Times New Roman" w:hAnsi="Arial" w:cs="Arial"/>
                <w:b/>
                <w:sz w:val="24"/>
                <w:szCs w:val="24"/>
                <w:lang w:eastAsia="pl-PL"/>
              </w:rPr>
              <w:t xml:space="preserve">Parkingi udostępniane wszystkim użytkownikom, na otwartych zasadach, odpłatnie lub bezpłatnie, co do zasady nie mogą zostać uznane za spełniające cele dla Działania 3.1.  </w:t>
            </w:r>
          </w:p>
          <w:p w14:paraId="6BA23843" w14:textId="77777777" w:rsidR="00D00985" w:rsidRPr="00EB2BBD" w:rsidRDefault="00D00985" w:rsidP="00D00985">
            <w:pPr>
              <w:pStyle w:val="Akapitzlist"/>
              <w:autoSpaceDE w:val="0"/>
              <w:autoSpaceDN w:val="0"/>
              <w:adjustRightInd w:val="0"/>
              <w:spacing w:after="120" w:line="276" w:lineRule="auto"/>
              <w:ind w:left="738"/>
              <w:rPr>
                <w:rFonts w:ascii="Arial" w:eastAsia="Times New Roman" w:hAnsi="Arial" w:cs="Arial"/>
                <w:sz w:val="24"/>
                <w:szCs w:val="24"/>
                <w:lang w:eastAsia="pl-PL"/>
              </w:rPr>
            </w:pPr>
            <w:r w:rsidRPr="00EB2BBD">
              <w:rPr>
                <w:rFonts w:ascii="Arial" w:eastAsia="Times New Roman" w:hAnsi="Arial" w:cs="Arial"/>
                <w:sz w:val="24"/>
                <w:szCs w:val="24"/>
                <w:lang w:eastAsia="pl-PL"/>
              </w:rPr>
              <w:t>Konieczne jest zatem udowodnienie spełnienia warunku przeznaczenia parkingu na cele związane z obsługą osób korzystających z transportu zbiorowego. Minimalnym</w:t>
            </w:r>
            <w:r w:rsidRPr="00EB2BBD">
              <w:rPr>
                <w:rFonts w:ascii="Arial" w:eastAsia="Times New Roman" w:hAnsi="Arial" w:cs="Arial"/>
                <w:sz w:val="24"/>
                <w:szCs w:val="24"/>
                <w:u w:val="single"/>
                <w:lang w:eastAsia="pl-PL"/>
              </w:rPr>
              <w:t xml:space="preserve"> wymogiem dla parkingu typu Park&amp;Ride</w:t>
            </w:r>
            <w:r w:rsidRPr="00EB2BBD">
              <w:rPr>
                <w:rFonts w:ascii="Arial" w:eastAsia="Times New Roman" w:hAnsi="Arial" w:cs="Arial"/>
                <w:sz w:val="24"/>
                <w:szCs w:val="24"/>
                <w:lang w:eastAsia="pl-PL"/>
              </w:rPr>
              <w:t xml:space="preserve"> jest zainstalowanie w widocznym miejscu tablicy informującej, że parking jest przeznaczony tylko i wyłącznie dla osób przesiadających się na komunikację zbiorową (wraz z regulaminem parkingu) oraz wprowadzenie (stałej lub czasowej) weryfikacji wykorzystania parkingu. </w:t>
            </w:r>
          </w:p>
          <w:p w14:paraId="495552BB" w14:textId="77777777" w:rsidR="00D00985" w:rsidRPr="00C57A87" w:rsidRDefault="00D00985" w:rsidP="00CF1BE3">
            <w:pPr>
              <w:pStyle w:val="Akapitzlist"/>
              <w:numPr>
                <w:ilvl w:val="0"/>
                <w:numId w:val="50"/>
              </w:numPr>
              <w:autoSpaceDE w:val="0"/>
              <w:autoSpaceDN w:val="0"/>
              <w:adjustRightInd w:val="0"/>
              <w:spacing w:after="120" w:line="276" w:lineRule="auto"/>
              <w:rPr>
                <w:rFonts w:ascii="Arial" w:eastAsia="Times New Roman" w:hAnsi="Arial" w:cs="Arial"/>
                <w:sz w:val="24"/>
                <w:szCs w:val="24"/>
                <w:lang w:eastAsia="pl-PL"/>
              </w:rPr>
            </w:pPr>
            <w:r w:rsidRPr="00C57A87">
              <w:rPr>
                <w:rFonts w:ascii="Arial" w:eastAsia="Times New Roman" w:hAnsi="Arial" w:cs="Arial"/>
                <w:b/>
                <w:sz w:val="24"/>
                <w:szCs w:val="24"/>
                <w:lang w:eastAsia="pl-PL"/>
              </w:rPr>
              <w:t xml:space="preserve">integracja usług transportowych, w tym cyfryzacja, </w:t>
            </w:r>
            <w:r w:rsidRPr="00C57A87">
              <w:rPr>
                <w:rFonts w:ascii="Arial" w:eastAsia="Times New Roman" w:hAnsi="Arial" w:cs="Arial"/>
                <w:sz w:val="24"/>
                <w:szCs w:val="24"/>
                <w:lang w:eastAsia="pl-PL"/>
              </w:rPr>
              <w:t xml:space="preserve">należy wskazać, czy projekt zakłada wprowadzenie systemu wspólnych opłat za przewozy.  </w:t>
            </w:r>
          </w:p>
          <w:p w14:paraId="6953BB74" w14:textId="77777777" w:rsidR="00D00985" w:rsidRPr="00C57A87" w:rsidRDefault="00D00985" w:rsidP="00D00985">
            <w:pPr>
              <w:pStyle w:val="Akapitzlist"/>
              <w:autoSpaceDE w:val="0"/>
              <w:autoSpaceDN w:val="0"/>
              <w:adjustRightInd w:val="0"/>
              <w:spacing w:after="120" w:line="276" w:lineRule="auto"/>
              <w:ind w:left="360"/>
              <w:rPr>
                <w:rFonts w:ascii="Arial" w:eastAsia="Times New Roman" w:hAnsi="Arial" w:cs="Arial"/>
                <w:sz w:val="24"/>
                <w:szCs w:val="24"/>
                <w:lang w:eastAsia="pl-PL"/>
              </w:rPr>
            </w:pPr>
            <w:r w:rsidRPr="00C57A87">
              <w:rPr>
                <w:rFonts w:ascii="Arial" w:eastAsia="Times New Roman" w:hAnsi="Arial" w:cs="Arial"/>
                <w:sz w:val="24"/>
                <w:szCs w:val="24"/>
                <w:lang w:eastAsia="pl-PL"/>
              </w:rPr>
              <w:t xml:space="preserve">Wsparcie można uzyskać wyłącznie pod warunkiem zapewnienia kompatybilności z Małopolską Kartą Aglomeracyjną (MKA), co wiąże się </w:t>
            </w:r>
            <w:r>
              <w:rPr>
                <w:rFonts w:ascii="Arial" w:eastAsia="Times New Roman" w:hAnsi="Arial" w:cs="Arial"/>
                <w:sz w:val="24"/>
                <w:szCs w:val="24"/>
                <w:lang w:eastAsia="pl-PL"/>
              </w:rPr>
              <w:br/>
            </w:r>
            <w:r w:rsidRPr="00C57A87">
              <w:rPr>
                <w:rFonts w:ascii="Arial" w:eastAsia="Times New Roman" w:hAnsi="Arial" w:cs="Arial"/>
                <w:sz w:val="24"/>
                <w:szCs w:val="24"/>
                <w:lang w:eastAsia="pl-PL"/>
              </w:rPr>
              <w:t>z obowiązkiem przystąpienia do systemu MKA.</w:t>
            </w:r>
          </w:p>
          <w:p w14:paraId="4C4B4415" w14:textId="77777777" w:rsidR="00D00985" w:rsidRPr="00C57A87" w:rsidRDefault="00D00985" w:rsidP="00CF1BE3">
            <w:pPr>
              <w:pStyle w:val="Akapitzlist"/>
              <w:numPr>
                <w:ilvl w:val="0"/>
                <w:numId w:val="50"/>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 xml:space="preserve">stacja ładowania pojazdów elektrycznych/ tankowania paliw alternatywnych, </w:t>
            </w:r>
            <w:r w:rsidRPr="00C57A87">
              <w:rPr>
                <w:rFonts w:ascii="Arial" w:eastAsia="Calibri" w:hAnsi="Arial" w:cs="Arial"/>
                <w:sz w:val="24"/>
              </w:rPr>
              <w:t>należy wskazać czy infrastruktura spełnia wymogi Dyrektywy 2014/94/UE oraz zapewnia niedyskryminujący dostęp dla wszystkich użytkowników (bez inwestycji związanych z infrastrukturą dystrybucji paliw kopalnych).</w:t>
            </w:r>
            <w:r>
              <w:rPr>
                <w:rFonts w:ascii="Arial" w:eastAsia="Calibri" w:hAnsi="Arial" w:cs="Arial"/>
                <w:sz w:val="24"/>
              </w:rPr>
              <w:t xml:space="preserve"> </w:t>
            </w:r>
          </w:p>
          <w:p w14:paraId="7E7FA587" w14:textId="77777777" w:rsidR="00D00985" w:rsidRPr="00C57A87" w:rsidRDefault="00D00985" w:rsidP="00CF1BE3">
            <w:pPr>
              <w:pStyle w:val="Akapitzlist"/>
              <w:numPr>
                <w:ilvl w:val="0"/>
                <w:numId w:val="50"/>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inwestycja drogowa</w:t>
            </w:r>
            <w:r w:rsidRPr="00C57A87">
              <w:rPr>
                <w:rFonts w:ascii="Arial" w:eastAsia="Calibri" w:hAnsi="Arial" w:cs="Arial"/>
                <w:sz w:val="24"/>
              </w:rPr>
              <w:t xml:space="preserve"> należy wskazać czy, a jeśli tak to w jaki sposób </w:t>
            </w:r>
            <w:r w:rsidRPr="00C57A87">
              <w:rPr>
                <w:rFonts w:ascii="Arial" w:eastAsia="Calibri" w:hAnsi="Arial" w:cs="Arial"/>
                <w:b/>
                <w:sz w:val="24"/>
              </w:rPr>
              <w:t>droga jest wykorzystywana w transporcie publicznym i/lub zbiorowym.</w:t>
            </w:r>
          </w:p>
          <w:p w14:paraId="01FE2C53" w14:textId="77777777" w:rsidR="00D00985" w:rsidRPr="00C57A87" w:rsidRDefault="00D00985" w:rsidP="00D00985">
            <w:pPr>
              <w:pStyle w:val="Akapitzlist"/>
              <w:autoSpaceDE w:val="0"/>
              <w:autoSpaceDN w:val="0"/>
              <w:adjustRightInd w:val="0"/>
              <w:spacing w:after="120" w:line="276" w:lineRule="auto"/>
              <w:ind w:left="360"/>
              <w:rPr>
                <w:rFonts w:ascii="Arial" w:eastAsia="Calibri" w:hAnsi="Arial" w:cs="Arial"/>
                <w:sz w:val="24"/>
              </w:rPr>
            </w:pPr>
            <w:r w:rsidRPr="00C57A87">
              <w:rPr>
                <w:rFonts w:ascii="Arial" w:eastAsia="Calibri" w:hAnsi="Arial" w:cs="Arial"/>
                <w:sz w:val="24"/>
              </w:rPr>
              <w:t xml:space="preserve">Należy mieć na uwadze, że wsparciem nie będą objęte inwestycje </w:t>
            </w:r>
            <w:r>
              <w:rPr>
                <w:rFonts w:ascii="Arial" w:eastAsia="Calibri" w:hAnsi="Arial" w:cs="Arial"/>
                <w:sz w:val="24"/>
              </w:rPr>
              <w:br/>
            </w:r>
            <w:r w:rsidRPr="00C57A87">
              <w:rPr>
                <w:rFonts w:ascii="Arial" w:eastAsia="Calibri" w:hAnsi="Arial" w:cs="Arial"/>
                <w:sz w:val="24"/>
              </w:rPr>
              <w:t>w infrastrukturę drogową wykorzystywaną do ruchu pojazdów samochodowych nie wykorzystywanych w transporcie publicznym i/ lub zbiorowym, z wyjątkiem narzędzi cyfrowych, obiektów „parkuj i jedź” i środków ukierunkowanych na poprawę bezpieczeństwa niechronionych użytkowników dróg (w tym pieszych i rowerzystów).</w:t>
            </w:r>
          </w:p>
          <w:p w14:paraId="0EF71E6F" w14:textId="77777777" w:rsidR="00D00985" w:rsidRPr="00C57A87" w:rsidRDefault="00D00985" w:rsidP="00CF1BE3">
            <w:pPr>
              <w:pStyle w:val="Akapitzlist"/>
              <w:numPr>
                <w:ilvl w:val="0"/>
                <w:numId w:val="50"/>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infrastruktura na potrzeby transportu rowerowego</w:t>
            </w:r>
            <w:r w:rsidRPr="00C57A87">
              <w:rPr>
                <w:rFonts w:ascii="Arial" w:eastAsia="Calibri" w:hAnsi="Arial" w:cs="Arial"/>
                <w:sz w:val="24"/>
              </w:rPr>
              <w:t xml:space="preserve">, należy wskazać czy, </w:t>
            </w:r>
            <w:r>
              <w:rPr>
                <w:rFonts w:ascii="Arial" w:eastAsia="Calibri" w:hAnsi="Arial" w:cs="Arial"/>
                <w:sz w:val="24"/>
              </w:rPr>
              <w:br/>
            </w:r>
            <w:r w:rsidRPr="00C57A87">
              <w:rPr>
                <w:rFonts w:ascii="Arial" w:eastAsia="Calibri" w:hAnsi="Arial" w:cs="Arial"/>
                <w:sz w:val="24"/>
              </w:rPr>
              <w:t xml:space="preserve">a jeśli tak to w jaki sposób ścieżka rowerowa </w:t>
            </w:r>
            <w:r w:rsidRPr="00C57A87">
              <w:rPr>
                <w:rFonts w:ascii="Arial" w:eastAsia="Calibri" w:hAnsi="Arial" w:cs="Arial"/>
                <w:b/>
                <w:sz w:val="24"/>
              </w:rPr>
              <w:t xml:space="preserve">jest zgodna </w:t>
            </w:r>
            <w:r w:rsidRPr="00C57A87">
              <w:rPr>
                <w:rFonts w:ascii="Arial" w:hAnsi="Arial" w:cs="Arial"/>
                <w:b/>
                <w:sz w:val="24"/>
                <w:szCs w:val="24"/>
              </w:rPr>
              <w:t>z projektowaną lub istniejącą funkcjonalną siecią ścieżek rowerowych na terenie gminy/ gmin,</w:t>
            </w:r>
            <w:r w:rsidRPr="00C57A87">
              <w:rPr>
                <w:rFonts w:ascii="Arial" w:hAnsi="Arial" w:cs="Arial"/>
                <w:sz w:val="24"/>
                <w:szCs w:val="24"/>
              </w:rPr>
              <w:t xml:space="preserve"> których dotyczy projekt, stanowiącą alternatywę dla zdefiniowanych lub istniejących potrzeb transportowych/ komunikacyjnych.</w:t>
            </w:r>
          </w:p>
          <w:p w14:paraId="3957373B" w14:textId="77777777" w:rsidR="00D00985" w:rsidRPr="00396247" w:rsidRDefault="00D00985" w:rsidP="00D00985">
            <w:pPr>
              <w:autoSpaceDE w:val="0"/>
              <w:autoSpaceDN w:val="0"/>
              <w:adjustRightInd w:val="0"/>
              <w:spacing w:after="120" w:line="276" w:lineRule="auto"/>
              <w:ind w:left="313"/>
              <w:rPr>
                <w:rFonts w:ascii="Arial" w:eastAsia="Calibri" w:hAnsi="Arial" w:cs="Arial"/>
                <w:color w:val="FF0000"/>
                <w:sz w:val="24"/>
              </w:rPr>
            </w:pPr>
            <w:r w:rsidRPr="00C57A87">
              <w:rPr>
                <w:rFonts w:ascii="Arial" w:eastAsia="Calibri" w:hAnsi="Arial" w:cs="Arial"/>
                <w:sz w:val="24"/>
              </w:rPr>
              <w:lastRenderedPageBreak/>
              <w:t>W przypadku gdy projekt dotyczy wypożyczalni rowerowej należy przedstawić informacje nt. planowanego funkcjonowania wypożyczali w tym w jaki sposób będzie wyłoniony operator wypożyczalni, jakie będą opłaty oraz opisać rynek wypożyczalni rowerów na terenie danej miejscowości.</w:t>
            </w:r>
          </w:p>
        </w:tc>
      </w:tr>
      <w:tr w:rsidR="00D00985" w:rsidRPr="00067DDD" w14:paraId="01EC78CE"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1E1716CD" w14:textId="77777777" w:rsidR="00D00985" w:rsidRDefault="00D00985" w:rsidP="00D00985">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lastRenderedPageBreak/>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76D26EAA" w14:textId="77777777" w:rsidR="00D00985" w:rsidRPr="00067DDD" w:rsidRDefault="00D00985" w:rsidP="00D00985">
            <w:pPr>
              <w:autoSpaceDE w:val="0"/>
              <w:autoSpaceDN w:val="0"/>
              <w:adjustRightInd w:val="0"/>
              <w:spacing w:after="120" w:line="276" w:lineRule="auto"/>
              <w:rPr>
                <w:rFonts w:ascii="Arial" w:eastAsia="Calibri" w:hAnsi="Arial" w:cs="Arial"/>
                <w:b/>
                <w:sz w:val="24"/>
              </w:rPr>
            </w:pPr>
            <w:r w:rsidRPr="001B787B">
              <w:rPr>
                <w:rFonts w:ascii="Arial" w:eastAsia="Calibri" w:hAnsi="Arial" w:cs="Arial"/>
                <w:sz w:val="24"/>
                <w:lang w:bidi="pl-PL"/>
              </w:rPr>
              <w:t xml:space="preserve">Należy wskazać czy </w:t>
            </w:r>
            <w:r>
              <w:rPr>
                <w:rFonts w:ascii="Arial" w:eastAsia="Calibri" w:hAnsi="Arial" w:cs="Arial"/>
                <w:sz w:val="24"/>
                <w:lang w:bidi="pl-PL"/>
              </w:rPr>
              <w:t xml:space="preserve">Wnioskodawca oraz </w:t>
            </w:r>
            <w:r w:rsidRPr="001B787B">
              <w:rPr>
                <w:rFonts w:ascii="Arial" w:eastAsia="Calibri" w:hAnsi="Arial" w:cs="Arial"/>
                <w:sz w:val="24"/>
                <w:lang w:bidi="pl-PL"/>
              </w:rPr>
              <w:t xml:space="preserve">projekt jest ujęty w zaopiniowanej pozytywnie przez IZ FEM i obowiązującej Strategii ZIT na liście projektów – </w:t>
            </w:r>
            <w:r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1B787B">
              <w:rPr>
                <w:rFonts w:ascii="Arial" w:eastAsia="Calibri" w:hAnsi="Arial" w:cs="Arial"/>
                <w:b/>
                <w:sz w:val="24"/>
                <w:lang w:bidi="pl-PL"/>
              </w:rPr>
              <w:t>proszę o wskazanie nr projektu</w:t>
            </w:r>
            <w:r w:rsidRPr="001B787B">
              <w:rPr>
                <w:rFonts w:ascii="Arial" w:eastAsia="Calibri" w:hAnsi="Arial" w:cs="Arial"/>
                <w:sz w:val="24"/>
                <w:lang w:bidi="pl-PL"/>
              </w:rPr>
              <w:t xml:space="preserve">. </w:t>
            </w:r>
          </w:p>
        </w:tc>
      </w:tr>
      <w:tr w:rsidR="00D00985" w:rsidRPr="00067DDD" w14:paraId="7AE0EE82"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67E332DA" w14:textId="77777777" w:rsidR="00D00985" w:rsidRDefault="00D00985" w:rsidP="00D00985">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t>Pkt G.2.2 wskaźniki rezultatu:</w:t>
            </w:r>
          </w:p>
          <w:p w14:paraId="1222C1FF" w14:textId="77777777" w:rsidR="00D00985" w:rsidRPr="00067DDD" w:rsidRDefault="00D00985" w:rsidP="00D00985">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5A791439" w14:textId="77777777" w:rsidR="00D00985" w:rsidRPr="00067DDD" w:rsidRDefault="00D00985" w:rsidP="00D00985">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W ramach wskaźników rezultatu należy wybrać m.in. wskaźnik </w:t>
            </w:r>
            <w:r w:rsidRPr="00067DDD">
              <w:rPr>
                <w:rFonts w:ascii="Arial" w:eastAsia="Calibri" w:hAnsi="Arial" w:cs="Arial"/>
                <w:b/>
                <w:sz w:val="24"/>
              </w:rPr>
              <w:t>„Szacowana emisja gazów cieplarnianych”.</w:t>
            </w:r>
            <w:r w:rsidRPr="00067DDD">
              <w:rPr>
                <w:rFonts w:ascii="Arial" w:eastAsia="Calibri" w:hAnsi="Arial" w:cs="Arial"/>
                <w:sz w:val="24"/>
              </w:rPr>
              <w:t xml:space="preserve"> </w:t>
            </w:r>
          </w:p>
          <w:p w14:paraId="7209BE92" w14:textId="77777777" w:rsidR="00D00985" w:rsidRPr="00067DDD" w:rsidRDefault="00D00985" w:rsidP="00D00985">
            <w:pPr>
              <w:autoSpaceDE w:val="0"/>
              <w:autoSpaceDN w:val="0"/>
              <w:adjustRightInd w:val="0"/>
              <w:spacing w:after="120" w:line="276" w:lineRule="auto"/>
              <w:rPr>
                <w:rFonts w:ascii="Arial" w:eastAsia="Calibri" w:hAnsi="Arial" w:cs="Arial"/>
                <w:b/>
                <w:sz w:val="24"/>
              </w:rPr>
            </w:pPr>
            <w:r w:rsidRPr="00067DDD">
              <w:rPr>
                <w:rFonts w:ascii="Arial" w:eastAsia="Calibri" w:hAnsi="Arial" w:cs="Arial"/>
                <w:sz w:val="24"/>
              </w:rPr>
              <w:t>W ramach tego wskaźnika należy podać zarówno wartość bazową jak i wartość docelową. Wartość bazowa odnosi się do poziomu szacowanej emisji gazów cieplarnianych w ciągu roku przed rozpoczęciem interwencji, a wartość docelowa jest obliczana jako całkowita szacowana emisja gazów cieplarnianych na podstawie osiągniętego poziomu charakterystyki energetycznej w roku następującym po zakończeniu interwencji. Obie wartości wskaźnika należy podać w jednostce [ton ekwiwalentu CO</w:t>
            </w:r>
            <w:r w:rsidRPr="00067DDD">
              <w:rPr>
                <w:rFonts w:ascii="Arial" w:eastAsia="Calibri" w:hAnsi="Arial" w:cs="Arial"/>
                <w:sz w:val="24"/>
                <w:vertAlign w:val="subscript"/>
              </w:rPr>
              <w:t>2</w:t>
            </w:r>
            <w:r w:rsidRPr="00067DDD">
              <w:rPr>
                <w:rFonts w:ascii="Arial" w:eastAsia="Calibri" w:hAnsi="Arial" w:cs="Arial"/>
                <w:sz w:val="24"/>
              </w:rPr>
              <w:t>/rok].</w:t>
            </w:r>
          </w:p>
        </w:tc>
      </w:tr>
      <w:tr w:rsidR="00D00985" w:rsidRPr="009D44F8" w14:paraId="33124CEB"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222ADAA7" w14:textId="77777777" w:rsidR="00D00985" w:rsidRDefault="00D00985" w:rsidP="00D00985">
            <w:pPr>
              <w:spacing w:after="120" w:line="240" w:lineRule="auto"/>
              <w:jc w:val="both"/>
              <w:rPr>
                <w:rFonts w:ascii="Arial" w:eastAsia="Times New Roman" w:hAnsi="Arial" w:cs="Arial"/>
                <w:b/>
                <w:sz w:val="24"/>
                <w:szCs w:val="24"/>
                <w:lang w:eastAsia="pl-PL"/>
              </w:rPr>
            </w:pPr>
            <w:r w:rsidRPr="009D44F8">
              <w:rPr>
                <w:rFonts w:ascii="Arial" w:eastAsia="Times New Roman" w:hAnsi="Arial" w:cs="Arial"/>
                <w:b/>
                <w:sz w:val="24"/>
                <w:szCs w:val="24"/>
                <w:lang w:eastAsia="pl-PL"/>
              </w:rPr>
              <w:t>Część I Pomoc publiczna</w:t>
            </w:r>
          </w:p>
          <w:p w14:paraId="61130205" w14:textId="77777777" w:rsidR="00D00985" w:rsidRPr="009D44F8" w:rsidRDefault="00D00985" w:rsidP="00D00985">
            <w:pPr>
              <w:spacing w:after="120" w:line="240" w:lineRule="auto"/>
              <w:jc w:val="both"/>
              <w:rPr>
                <w:rFonts w:ascii="Arial" w:eastAsia="Times New Roman" w:hAnsi="Arial" w:cs="Arial"/>
                <w:b/>
                <w:sz w:val="24"/>
                <w:szCs w:val="24"/>
                <w:lang w:eastAsia="pl-PL"/>
              </w:rPr>
            </w:pPr>
            <w:r w:rsidRPr="00995552">
              <w:rPr>
                <w:rFonts w:ascii="Arial" w:eastAsia="Times New Roman" w:hAnsi="Arial" w:cs="Arial"/>
                <w:b/>
                <w:sz w:val="24"/>
                <w:szCs w:val="24"/>
                <w:lang w:eastAsia="pl-PL"/>
              </w:rPr>
              <w:t>Typ projektu A. Transport miejski</w:t>
            </w:r>
          </w:p>
          <w:p w14:paraId="3141735A" w14:textId="0628362D" w:rsidR="00D00985" w:rsidRPr="009D44F8" w:rsidRDefault="00D00985" w:rsidP="00D00985">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Z uwagi na fakt, że w ramach przedmiotowego Działania wdrażane mogą być projekty bardzo zróżnicowane jeżeli chodzi o zakres oraz sposób wykorzystania infrastruktury </w:t>
            </w:r>
            <w:r w:rsidR="00FB2E6E">
              <w:rPr>
                <w:rFonts w:ascii="Arial" w:eastAsia="Times New Roman" w:hAnsi="Arial" w:cs="Arial"/>
                <w:iCs/>
                <w:color w:val="auto"/>
                <w:lang w:eastAsia="ar-SA"/>
              </w:rPr>
              <w:t xml:space="preserve">dopuszcza się możliwość przyznania dofinansowania niestanowiącego pomocy publicznej lub przyznania pomocy publicznej/pomocy de minimis z uwzględnieniem różnych aktów prawnych. Jednocześnie </w:t>
            </w:r>
            <w:r w:rsidRPr="009D44F8">
              <w:rPr>
                <w:rFonts w:ascii="Arial" w:eastAsia="Times New Roman" w:hAnsi="Arial" w:cs="Arial"/>
                <w:iCs/>
                <w:color w:val="auto"/>
                <w:lang w:eastAsia="ar-SA"/>
              </w:rPr>
              <w:t>IZ zastrzega, że ocena wystąpienia pomocy publicznej, a także możliwości jej ewentualnego przyznania będzie weryfikowana indywidualnie dla każdego projektu</w:t>
            </w:r>
            <w:r w:rsidR="00FB2E6E">
              <w:rPr>
                <w:rFonts w:ascii="Arial" w:eastAsia="Times New Roman" w:hAnsi="Arial" w:cs="Arial"/>
                <w:iCs/>
                <w:color w:val="auto"/>
                <w:lang w:eastAsia="ar-SA"/>
              </w:rPr>
              <w:t xml:space="preserve"> i w tym celu IZ może zwrócić się o opinię do niezależnego doradcy o opinię w zakresie zgodności z przepisami o pomocy publicznej. </w:t>
            </w:r>
            <w:r w:rsidRPr="009D44F8">
              <w:rPr>
                <w:rFonts w:ascii="Arial" w:eastAsia="Times New Roman" w:hAnsi="Arial" w:cs="Arial"/>
                <w:iCs/>
                <w:color w:val="auto"/>
                <w:lang w:eastAsia="ar-SA"/>
              </w:rPr>
              <w:t xml:space="preserve"> </w:t>
            </w:r>
          </w:p>
          <w:p w14:paraId="149A64E4" w14:textId="7A6E4C65" w:rsidR="00FB2E6E" w:rsidRPr="009D44F8" w:rsidRDefault="00D00985" w:rsidP="00FB2E6E">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Szczegółowe informacje nt. weryfikacji wystąpienia pomocy publicznej, jak również warunków jej udzielenia określono w Wademekum wiedzy o wniosku – Rozdział 8 „Pomoc publiczna”.</w:t>
            </w:r>
            <w:r w:rsidR="00473E1B">
              <w:rPr>
                <w:rFonts w:ascii="Arial" w:eastAsia="Times New Roman" w:hAnsi="Arial" w:cs="Arial"/>
                <w:iCs/>
                <w:color w:val="auto"/>
                <w:lang w:eastAsia="ar-SA"/>
              </w:rPr>
              <w:t xml:space="preserve"> Dodatkowo należy mieć na uwadze, że w</w:t>
            </w:r>
            <w:r w:rsidR="00473E1B" w:rsidRPr="00473E1B">
              <w:rPr>
                <w:rFonts w:ascii="Arial" w:eastAsia="Times New Roman" w:hAnsi="Arial" w:cs="Arial"/>
                <w:iCs/>
                <w:color w:val="auto"/>
                <w:lang w:eastAsia="ar-SA"/>
              </w:rPr>
              <w:t xml:space="preserve"> przypadku projektów związanych z infrastrukturą niezbędna do świadczenia usług</w:t>
            </w:r>
            <w:r w:rsidR="00473E1B">
              <w:rPr>
                <w:rFonts w:ascii="Arial" w:eastAsia="Times New Roman" w:hAnsi="Arial" w:cs="Arial"/>
                <w:iCs/>
                <w:color w:val="auto"/>
                <w:lang w:eastAsia="ar-SA"/>
              </w:rPr>
              <w:t xml:space="preserve"> </w:t>
            </w:r>
            <w:r w:rsidR="00473E1B" w:rsidRPr="00473E1B">
              <w:rPr>
                <w:rFonts w:ascii="Arial" w:eastAsia="Times New Roman" w:hAnsi="Arial" w:cs="Arial"/>
                <w:iCs/>
                <w:color w:val="auto"/>
                <w:lang w:eastAsia="ar-SA"/>
              </w:rPr>
              <w:t xml:space="preserve">w ogólnym interesie </w:t>
            </w:r>
            <w:r w:rsidR="00473E1B" w:rsidRPr="00473E1B">
              <w:rPr>
                <w:rFonts w:ascii="Arial" w:eastAsia="Times New Roman" w:hAnsi="Arial" w:cs="Arial"/>
                <w:iCs/>
                <w:color w:val="auto"/>
                <w:lang w:eastAsia="ar-SA"/>
              </w:rPr>
              <w:lastRenderedPageBreak/>
              <w:t xml:space="preserve">gospodarczym (np. zakup taboru autobusowego, </w:t>
            </w:r>
            <w:r w:rsidR="00473E1B">
              <w:rPr>
                <w:rFonts w:ascii="Arial" w:eastAsia="Times New Roman" w:hAnsi="Arial" w:cs="Arial"/>
                <w:iCs/>
                <w:color w:val="auto"/>
                <w:lang w:eastAsia="ar-SA"/>
              </w:rPr>
              <w:t>budowa zaplecza</w:t>
            </w:r>
            <w:r w:rsidR="00473E1B" w:rsidRPr="00473E1B">
              <w:rPr>
                <w:rFonts w:ascii="Arial" w:eastAsia="Times New Roman" w:hAnsi="Arial" w:cs="Arial"/>
                <w:iCs/>
                <w:color w:val="auto"/>
                <w:lang w:eastAsia="ar-SA"/>
              </w:rPr>
              <w:t>), w ramach których dofinansowanie ma stanowić element rekompensaty z tytułu</w:t>
            </w:r>
            <w:r w:rsidR="00473E1B">
              <w:rPr>
                <w:rFonts w:ascii="Arial" w:eastAsia="Times New Roman" w:hAnsi="Arial" w:cs="Arial"/>
                <w:iCs/>
                <w:color w:val="auto"/>
                <w:lang w:eastAsia="ar-SA"/>
              </w:rPr>
              <w:t xml:space="preserve"> </w:t>
            </w:r>
            <w:r w:rsidR="00473E1B" w:rsidRPr="00473E1B">
              <w:rPr>
                <w:rFonts w:ascii="Arial" w:eastAsia="Times New Roman" w:hAnsi="Arial" w:cs="Arial"/>
                <w:iCs/>
                <w:color w:val="auto"/>
                <w:lang w:eastAsia="ar-SA"/>
              </w:rPr>
              <w:t>świadczenia usług, ocena wystąpienia pomocy publicznej odnosi się do tego, czy</w:t>
            </w:r>
            <w:r w:rsidR="00FB2E6E">
              <w:rPr>
                <w:rFonts w:ascii="Arial" w:eastAsia="Times New Roman" w:hAnsi="Arial" w:cs="Arial"/>
                <w:iCs/>
                <w:color w:val="auto"/>
                <w:lang w:eastAsia="ar-SA"/>
              </w:rPr>
              <w:t xml:space="preserve"> </w:t>
            </w:r>
            <w:r w:rsidR="00473E1B" w:rsidRPr="00473E1B">
              <w:rPr>
                <w:rFonts w:ascii="Arial" w:eastAsia="Times New Roman" w:hAnsi="Arial" w:cs="Arial"/>
                <w:iCs/>
                <w:color w:val="auto"/>
                <w:lang w:eastAsia="ar-SA"/>
              </w:rPr>
              <w:t xml:space="preserve">rekompensata za świadczenie usługi stanowi pomoc publiczną. </w:t>
            </w:r>
            <w:r w:rsidR="00FB2E6E">
              <w:rPr>
                <w:rFonts w:ascii="Arial" w:eastAsia="Times New Roman" w:hAnsi="Arial" w:cs="Arial"/>
                <w:iCs/>
                <w:color w:val="auto"/>
                <w:lang w:eastAsia="ar-SA"/>
              </w:rPr>
              <w:t>J</w:t>
            </w:r>
            <w:r w:rsidR="00473E1B" w:rsidRPr="00473E1B">
              <w:rPr>
                <w:rFonts w:ascii="Arial" w:eastAsia="Times New Roman" w:hAnsi="Arial" w:cs="Arial"/>
                <w:iCs/>
                <w:color w:val="auto"/>
                <w:lang w:eastAsia="ar-SA"/>
              </w:rPr>
              <w:t>eżeli</w:t>
            </w:r>
            <w:r w:rsidR="00FB2E6E">
              <w:rPr>
                <w:rFonts w:ascii="Arial" w:eastAsia="Times New Roman" w:hAnsi="Arial" w:cs="Arial"/>
                <w:iCs/>
                <w:color w:val="auto"/>
                <w:lang w:eastAsia="ar-SA"/>
              </w:rPr>
              <w:t xml:space="preserve"> </w:t>
            </w:r>
            <w:r w:rsidR="00473E1B" w:rsidRPr="00473E1B">
              <w:rPr>
                <w:rFonts w:ascii="Arial" w:eastAsia="Times New Roman" w:hAnsi="Arial" w:cs="Arial"/>
                <w:iCs/>
                <w:color w:val="auto"/>
                <w:lang w:eastAsia="ar-SA"/>
              </w:rPr>
              <w:t xml:space="preserve">rekompensata stanowi pomoc publiczną i przyznana jest na podstawie </w:t>
            </w:r>
            <w:r w:rsidR="00FB2E6E" w:rsidRPr="00FB2E6E">
              <w:rPr>
                <w:rFonts w:ascii="Arial" w:eastAsia="Times New Roman" w:hAnsi="Arial" w:cs="Arial"/>
                <w:iCs/>
                <w:color w:val="auto"/>
                <w:lang w:eastAsia="ar-SA"/>
              </w:rPr>
              <w:t>Rozporządzeni</w:t>
            </w:r>
            <w:r w:rsidR="00FB2E6E">
              <w:rPr>
                <w:rFonts w:ascii="Arial" w:eastAsia="Times New Roman" w:hAnsi="Arial" w:cs="Arial"/>
                <w:iCs/>
                <w:color w:val="auto"/>
                <w:lang w:eastAsia="ar-SA"/>
              </w:rPr>
              <w:t>a</w:t>
            </w:r>
            <w:r w:rsidR="00FB2E6E" w:rsidRPr="00FB2E6E">
              <w:rPr>
                <w:rFonts w:ascii="Arial" w:eastAsia="Times New Roman" w:hAnsi="Arial" w:cs="Arial"/>
                <w:iCs/>
                <w:color w:val="auto"/>
                <w:lang w:eastAsia="ar-SA"/>
              </w:rPr>
              <w:t xml:space="preserve"> (WE) nr 1370/2007 Parlamentu Europejskiego i Rady z dnia</w:t>
            </w:r>
            <w:r w:rsidR="00FB2E6E">
              <w:rPr>
                <w:rFonts w:ascii="Arial" w:eastAsia="Times New Roman" w:hAnsi="Arial" w:cs="Arial"/>
                <w:iCs/>
                <w:color w:val="auto"/>
                <w:lang w:eastAsia="ar-SA"/>
              </w:rPr>
              <w:t xml:space="preserve"> </w:t>
            </w:r>
            <w:r w:rsidR="00FB2E6E" w:rsidRPr="00FB2E6E">
              <w:rPr>
                <w:rFonts w:ascii="Arial" w:eastAsia="Times New Roman" w:hAnsi="Arial" w:cs="Arial"/>
                <w:iCs/>
                <w:color w:val="auto"/>
                <w:lang w:eastAsia="ar-SA"/>
              </w:rPr>
              <w:t>23 października 2007 r. dotyczącego usług publicznych w zakresie kolejowego</w:t>
            </w:r>
            <w:r w:rsidR="00FB2E6E">
              <w:rPr>
                <w:rFonts w:ascii="Arial" w:eastAsia="Times New Roman" w:hAnsi="Arial" w:cs="Arial"/>
                <w:iCs/>
                <w:color w:val="auto"/>
                <w:lang w:eastAsia="ar-SA"/>
              </w:rPr>
              <w:t xml:space="preserve"> </w:t>
            </w:r>
            <w:r w:rsidR="00FB2E6E" w:rsidRPr="00FB2E6E">
              <w:rPr>
                <w:rFonts w:ascii="Arial" w:eastAsia="Times New Roman" w:hAnsi="Arial" w:cs="Arial"/>
                <w:iCs/>
                <w:color w:val="auto"/>
                <w:lang w:eastAsia="ar-SA"/>
              </w:rPr>
              <w:t>i drogowego transportu pasażerskiego oraz uchylające rozporządzenia Rady (EWG)</w:t>
            </w:r>
            <w:r w:rsidR="00FB2E6E">
              <w:rPr>
                <w:rFonts w:ascii="Arial" w:eastAsia="Times New Roman" w:hAnsi="Arial" w:cs="Arial"/>
                <w:iCs/>
                <w:color w:val="auto"/>
                <w:lang w:eastAsia="ar-SA"/>
              </w:rPr>
              <w:t xml:space="preserve"> </w:t>
            </w:r>
            <w:r w:rsidR="00FB2E6E" w:rsidRPr="00FB2E6E">
              <w:rPr>
                <w:rFonts w:ascii="Arial" w:eastAsia="Times New Roman" w:hAnsi="Arial" w:cs="Arial"/>
                <w:iCs/>
                <w:color w:val="auto"/>
                <w:lang w:eastAsia="ar-SA"/>
              </w:rPr>
              <w:t>nr 1191/69 i (EWG) nr 1107/70</w:t>
            </w:r>
            <w:r w:rsidR="00FB2E6E">
              <w:rPr>
                <w:rFonts w:ascii="Arial" w:eastAsia="Times New Roman" w:hAnsi="Arial" w:cs="Arial"/>
                <w:iCs/>
                <w:color w:val="auto"/>
                <w:lang w:eastAsia="ar-SA"/>
              </w:rPr>
              <w:t xml:space="preserve"> również dofinansowanie stanowić będzie pomoc publiczną. Ocena wystąpienia pomocy rozpatrywana będzie do usługi nie zaś bezpośrednio do tego, jaki podmiot jest Wnioskodawcą projektu. </w:t>
            </w:r>
          </w:p>
          <w:p w14:paraId="25933B88" w14:textId="77777777" w:rsidR="00D00985" w:rsidRPr="009D44F8" w:rsidRDefault="00D00985" w:rsidP="00D00985">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Poniżej przedstawione zostały dodatkowe informacje w zakresie dotyczącym wystąpienia pomocy publicznej w przewidzianych w ramach przedmiotowego Regulaminu typów projektu: </w:t>
            </w:r>
          </w:p>
          <w:p w14:paraId="2144DEFE" w14:textId="0A720CC4" w:rsidR="00A9492E" w:rsidRDefault="00D00985" w:rsidP="00CF1BE3">
            <w:pPr>
              <w:pStyle w:val="Default"/>
              <w:numPr>
                <w:ilvl w:val="0"/>
                <w:numId w:val="52"/>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Zakup taboru na potrzeby transportu zbiorowego – </w:t>
            </w:r>
            <w:r w:rsidR="00FB2E6E">
              <w:rPr>
                <w:rFonts w:ascii="Arial" w:eastAsia="Times New Roman" w:hAnsi="Arial" w:cs="Arial"/>
                <w:iCs/>
                <w:color w:val="auto"/>
                <w:lang w:eastAsia="ar-SA"/>
              </w:rPr>
              <w:t xml:space="preserve">jak wskazano powyżej ocena wystąpienia pomocy publicznej uzależniona jest od tego czy rekompensata za świadczenie usług transportowych stanowi pomoc publiczną. </w:t>
            </w:r>
            <w:r w:rsidR="00097609">
              <w:rPr>
                <w:rFonts w:ascii="Arial" w:eastAsia="Times New Roman" w:hAnsi="Arial" w:cs="Arial"/>
                <w:iCs/>
                <w:color w:val="auto"/>
                <w:lang w:eastAsia="ar-SA"/>
              </w:rPr>
              <w:t xml:space="preserve">Zakres informacji i dokumentów oraz sposób wypełnienia wniosku uzależniony będzie od tego </w:t>
            </w:r>
            <w:r w:rsidR="00FE7A79">
              <w:rPr>
                <w:rFonts w:ascii="Arial" w:eastAsia="Times New Roman" w:hAnsi="Arial" w:cs="Arial"/>
                <w:iCs/>
                <w:color w:val="auto"/>
                <w:lang w:eastAsia="ar-SA"/>
              </w:rPr>
              <w:t>czy</w:t>
            </w:r>
            <w:r w:rsidR="00097609">
              <w:rPr>
                <w:rFonts w:ascii="Arial" w:eastAsia="Times New Roman" w:hAnsi="Arial" w:cs="Arial"/>
                <w:iCs/>
                <w:color w:val="auto"/>
                <w:lang w:eastAsia="ar-SA"/>
              </w:rPr>
              <w:t xml:space="preserve"> rekompensata stanowi pomoc jak również od tego czy</w:t>
            </w:r>
            <w:r w:rsidR="00FE7A79">
              <w:rPr>
                <w:rFonts w:ascii="Arial" w:eastAsia="Times New Roman" w:hAnsi="Arial" w:cs="Arial"/>
                <w:iCs/>
                <w:color w:val="auto"/>
                <w:lang w:eastAsia="ar-SA"/>
              </w:rPr>
              <w:t xml:space="preserve"> o dofinansowanie ubiega się organizator czy operator </w:t>
            </w:r>
            <w:r w:rsidR="00097609">
              <w:rPr>
                <w:rFonts w:ascii="Arial" w:eastAsia="Times New Roman" w:hAnsi="Arial" w:cs="Arial"/>
                <w:iCs/>
                <w:color w:val="auto"/>
                <w:lang w:eastAsia="ar-SA"/>
              </w:rPr>
              <w:t xml:space="preserve">jak również od tego czy powierzenie już nastąpiło. </w:t>
            </w:r>
          </w:p>
          <w:p w14:paraId="417207E0" w14:textId="2A912049" w:rsidR="00FE7A79" w:rsidRDefault="00FE7A79" w:rsidP="00C52B39">
            <w:pPr>
              <w:pStyle w:val="Default"/>
              <w:spacing w:after="120" w:line="276" w:lineRule="auto"/>
              <w:ind w:left="313"/>
              <w:rPr>
                <w:rFonts w:ascii="Arial" w:eastAsia="Times New Roman" w:hAnsi="Arial" w:cs="Arial"/>
                <w:iCs/>
                <w:color w:val="auto"/>
                <w:lang w:eastAsia="ar-SA"/>
              </w:rPr>
            </w:pPr>
            <w:r>
              <w:rPr>
                <w:rFonts w:ascii="Arial" w:eastAsia="Times New Roman" w:hAnsi="Arial" w:cs="Arial"/>
                <w:iCs/>
                <w:color w:val="auto"/>
                <w:lang w:eastAsia="ar-SA"/>
              </w:rPr>
              <w:t>Analizując kwestie wystąpienia pomocy publicznej należy wyróżnić następujące sytuacje:</w:t>
            </w:r>
          </w:p>
          <w:p w14:paraId="4067A70C" w14:textId="4D7C5B44" w:rsidR="00FB2E6E" w:rsidRPr="00C52B39" w:rsidRDefault="00EC2312" w:rsidP="00233D1B">
            <w:pPr>
              <w:pStyle w:val="Default"/>
              <w:numPr>
                <w:ilvl w:val="0"/>
                <w:numId w:val="63"/>
              </w:numPr>
              <w:spacing w:after="120" w:line="276" w:lineRule="auto"/>
              <w:rPr>
                <w:rFonts w:ascii="Arial" w:eastAsia="Times New Roman" w:hAnsi="Arial" w:cs="Arial"/>
                <w:iCs/>
                <w:color w:val="auto"/>
                <w:lang w:eastAsia="ar-SA"/>
              </w:rPr>
            </w:pPr>
            <w:r w:rsidRPr="00233D1B">
              <w:rPr>
                <w:rFonts w:ascii="Arial" w:eastAsia="Times New Roman" w:hAnsi="Arial" w:cs="Arial"/>
                <w:iCs/>
                <w:color w:val="auto"/>
                <w:lang w:eastAsia="ar-SA"/>
              </w:rPr>
              <w:t>Dofinansowanie nie będzie stanowiło pomocy publicznej - w</w:t>
            </w:r>
            <w:r w:rsidR="00A9492E" w:rsidRPr="00233D1B">
              <w:rPr>
                <w:rFonts w:ascii="Arial" w:eastAsia="Times New Roman" w:hAnsi="Arial" w:cs="Arial"/>
                <w:iCs/>
                <w:color w:val="auto"/>
                <w:lang w:eastAsia="ar-SA"/>
              </w:rPr>
              <w:t xml:space="preserve"> sytuacji gdy powierzenie nast</w:t>
            </w:r>
            <w:r w:rsidR="00A9492E" w:rsidRPr="00600EC1">
              <w:rPr>
                <w:rFonts w:ascii="Arial" w:eastAsia="Times New Roman" w:hAnsi="Arial" w:cs="Arial"/>
                <w:iCs/>
                <w:color w:val="auto"/>
                <w:lang w:eastAsia="ar-SA"/>
              </w:rPr>
              <w:t xml:space="preserve">ąpiło zgodnie z warunkami zgodnymi z orzeczeniem ws. </w:t>
            </w:r>
            <w:r w:rsidR="00A9492E" w:rsidRPr="00097609">
              <w:rPr>
                <w:rFonts w:ascii="Arial" w:eastAsia="Times New Roman" w:hAnsi="Arial" w:cs="Arial"/>
                <w:iCs/>
                <w:color w:val="auto"/>
                <w:lang w:eastAsia="ar-SA"/>
              </w:rPr>
              <w:t>Altmark Trans Gmbh wówczas wynagrodzenie na rzecz operatora nie stanowi pomocy publicznej. Tym samym dofinansowanie stanowiące element wynagrodzenia również nie będzie stanowiło pomocy publicznej. Jednocześnie konieczne jest wykazanie spełnienie kryteriów określonych w orzeczeniu poprzez odniesienia do k</w:t>
            </w:r>
            <w:r w:rsidR="00A9492E" w:rsidRPr="00767703">
              <w:rPr>
                <w:rFonts w:ascii="Arial" w:eastAsia="Times New Roman" w:hAnsi="Arial" w:cs="Arial"/>
                <w:iCs/>
                <w:color w:val="auto"/>
                <w:lang w:eastAsia="ar-SA"/>
              </w:rPr>
              <w:t xml:space="preserve">ażdego z nich (patrz Wademekum </w:t>
            </w:r>
            <w:r w:rsidR="00A9492E" w:rsidRPr="00AD4374">
              <w:rPr>
                <w:rFonts w:ascii="Arial" w:eastAsia="Times New Roman" w:hAnsi="Arial" w:cs="Arial"/>
                <w:iCs/>
                <w:color w:val="auto"/>
                <w:lang w:eastAsia="ar-SA"/>
              </w:rPr>
              <w:t xml:space="preserve">Podrozdział 8.8). </w:t>
            </w:r>
            <w:r w:rsidRPr="00AD4374">
              <w:rPr>
                <w:rFonts w:ascii="Arial" w:eastAsia="Times New Roman" w:hAnsi="Arial" w:cs="Arial"/>
                <w:iCs/>
                <w:color w:val="auto"/>
                <w:lang w:eastAsia="ar-SA"/>
              </w:rPr>
              <w:t>W szczególności należy potwierdzić</w:t>
            </w:r>
            <w:r w:rsidR="00233D1B" w:rsidRPr="00AD4374">
              <w:rPr>
                <w:rFonts w:ascii="Arial" w:eastAsia="Times New Roman" w:hAnsi="Arial" w:cs="Arial"/>
                <w:iCs/>
                <w:color w:val="auto"/>
                <w:lang w:eastAsia="ar-SA"/>
              </w:rPr>
              <w:t>, że wybór operatora nastą</w:t>
            </w:r>
            <w:r w:rsidR="00233D1B" w:rsidRPr="00C52B39">
              <w:rPr>
                <w:rFonts w:ascii="Arial" w:eastAsia="Times New Roman" w:hAnsi="Arial" w:cs="Arial"/>
                <w:iCs/>
                <w:color w:val="auto"/>
                <w:lang w:eastAsia="ar-SA"/>
              </w:rPr>
              <w:t xml:space="preserve">pił w trybie konkurencyjnym w tym, że w postępowaniu uczestniczył więcej niż jeden oferent. Ponadto należy wykazać, że </w:t>
            </w:r>
            <w:r w:rsidRPr="00C52B39">
              <w:rPr>
                <w:rFonts w:ascii="Arial" w:eastAsia="Times New Roman" w:hAnsi="Arial" w:cs="Arial"/>
                <w:iCs/>
                <w:color w:val="auto"/>
                <w:lang w:eastAsia="ar-SA"/>
              </w:rPr>
              <w:t xml:space="preserve">na etapie ogłoszenia postępowania została/zostanie uwzględniona informacja nt. możliwości ubiegania się o dofinansowanie w oparciu środki FEM na lata 2021- 2027 jak również, że umowa powierzenia uwzględnia/ będzie uwzględniać wpływ dofinansowania na wysokość wynagrodzenia ustalonego w ramach postępowania konkurencyjnego; </w:t>
            </w:r>
          </w:p>
          <w:p w14:paraId="277F8D47" w14:textId="379959FD" w:rsidR="00EC2312" w:rsidRDefault="00EC2312" w:rsidP="00C52B39">
            <w:pPr>
              <w:pStyle w:val="Default"/>
              <w:numPr>
                <w:ilvl w:val="0"/>
                <w:numId w:val="63"/>
              </w:numPr>
              <w:spacing w:after="120" w:line="276" w:lineRule="auto"/>
              <w:rPr>
                <w:rFonts w:ascii="Arial" w:eastAsia="Times New Roman" w:hAnsi="Arial" w:cs="Arial"/>
                <w:iCs/>
                <w:color w:val="auto"/>
                <w:lang w:eastAsia="ar-SA"/>
              </w:rPr>
            </w:pPr>
            <w:r w:rsidRPr="00EC2312">
              <w:rPr>
                <w:rFonts w:ascii="Arial" w:eastAsia="Times New Roman" w:hAnsi="Arial" w:cs="Arial"/>
                <w:iCs/>
                <w:color w:val="auto"/>
                <w:lang w:eastAsia="ar-SA"/>
              </w:rPr>
              <w:t xml:space="preserve">Dofinansowanie stanowić będzie pomoc publiczną -  w przypadku gdy powierzenie nastąpiło w inny sposób np. bezpośrednie powierzenie na rzecz </w:t>
            </w:r>
            <w:r w:rsidRPr="00EC2312">
              <w:rPr>
                <w:rFonts w:ascii="Arial" w:eastAsia="Times New Roman" w:hAnsi="Arial" w:cs="Arial"/>
                <w:iCs/>
                <w:color w:val="auto"/>
                <w:lang w:eastAsia="ar-SA"/>
              </w:rPr>
              <w:lastRenderedPageBreak/>
              <w:t>operatora wówczas rekompensata stanowi pomoc publiczną w rozumieniu art. 107 ust. 1 TFUE. W sytuacji, w której pomoc ta jest zgodna z właściwymi przepisami prawa może zostać uznana za zgodną ze wspólnym rynkiem</w:t>
            </w:r>
            <w:r>
              <w:rPr>
                <w:rFonts w:ascii="Arial" w:eastAsia="Times New Roman" w:hAnsi="Arial" w:cs="Arial"/>
                <w:iCs/>
                <w:color w:val="auto"/>
                <w:lang w:eastAsia="ar-SA"/>
              </w:rPr>
              <w:t xml:space="preserve"> (patrz Wademekum Podrozdział 8.8)</w:t>
            </w:r>
            <w:r w:rsidR="00233D1B">
              <w:rPr>
                <w:rFonts w:ascii="Arial" w:eastAsia="Times New Roman" w:hAnsi="Arial" w:cs="Arial"/>
                <w:iCs/>
                <w:color w:val="auto"/>
                <w:lang w:eastAsia="ar-SA"/>
              </w:rPr>
              <w:t xml:space="preserve">. </w:t>
            </w:r>
          </w:p>
          <w:p w14:paraId="386A51AF" w14:textId="77777777" w:rsidR="00EC2312" w:rsidRDefault="00EC2312" w:rsidP="00C52B39">
            <w:pPr>
              <w:pStyle w:val="Default"/>
              <w:numPr>
                <w:ilvl w:val="0"/>
                <w:numId w:val="63"/>
              </w:numPr>
              <w:spacing w:after="120" w:line="276" w:lineRule="auto"/>
              <w:rPr>
                <w:rFonts w:ascii="Arial" w:eastAsia="Times New Roman" w:hAnsi="Arial" w:cs="Arial"/>
                <w:iCs/>
                <w:color w:val="auto"/>
                <w:lang w:eastAsia="ar-SA"/>
              </w:rPr>
            </w:pPr>
            <w:r w:rsidRPr="00EC2312">
              <w:rPr>
                <w:rFonts w:ascii="Arial" w:eastAsia="Times New Roman" w:hAnsi="Arial" w:cs="Arial"/>
                <w:iCs/>
                <w:color w:val="auto"/>
                <w:lang w:eastAsia="ar-SA"/>
              </w:rPr>
              <w:t xml:space="preserve">Dofinansowanie stanowić będzie pomoc de minimis na podstawie Rozporządzenia  Komisji (UE) 2023/2831 z dnia 13 grudnia 2023 r. w sprawie stosowania art. 107 i 108 Traktatu o funkcjonowaniu Unii Europejskiej do pomocy de minimis </w:t>
            </w:r>
            <w:r>
              <w:rPr>
                <w:rFonts w:ascii="Arial" w:eastAsia="Times New Roman" w:hAnsi="Arial" w:cs="Arial"/>
                <w:iCs/>
                <w:color w:val="auto"/>
                <w:lang w:eastAsia="ar-SA"/>
              </w:rPr>
              <w:t>–</w:t>
            </w:r>
            <w:r w:rsidRPr="00EC2312">
              <w:rPr>
                <w:rFonts w:ascii="Arial" w:eastAsia="Times New Roman" w:hAnsi="Arial" w:cs="Arial"/>
                <w:iCs/>
                <w:color w:val="auto"/>
                <w:lang w:eastAsia="ar-SA"/>
              </w:rPr>
              <w:t xml:space="preserve"> konieczne </w:t>
            </w:r>
            <w:r>
              <w:rPr>
                <w:rFonts w:ascii="Arial" w:eastAsia="Times New Roman" w:hAnsi="Arial" w:cs="Arial"/>
                <w:iCs/>
                <w:color w:val="auto"/>
                <w:lang w:eastAsia="ar-SA"/>
              </w:rPr>
              <w:t>jest wykazanie spełnienia warunków ubiegania się o ten rodzaj pomocy (patrz podrozdział 8.8 Wademekum) w tym w szczególności wykazanie dostępności limitu pomocy de minimis (300 tys. Euro na jedno przedsiębiorstwo w okresie 3 lat);</w:t>
            </w:r>
          </w:p>
          <w:p w14:paraId="0E47E8AA" w14:textId="009F40AD" w:rsidR="00EC2312" w:rsidRDefault="00EC2312" w:rsidP="00C52B39">
            <w:pPr>
              <w:pStyle w:val="Default"/>
              <w:numPr>
                <w:ilvl w:val="0"/>
                <w:numId w:val="63"/>
              </w:numPr>
              <w:spacing w:after="120" w:line="276" w:lineRule="auto"/>
              <w:rPr>
                <w:rFonts w:ascii="Arial" w:eastAsia="Times New Roman" w:hAnsi="Arial" w:cs="Arial"/>
                <w:iCs/>
                <w:color w:val="auto"/>
                <w:lang w:eastAsia="ar-SA"/>
              </w:rPr>
            </w:pPr>
            <w:r w:rsidRPr="00EC2312">
              <w:rPr>
                <w:rFonts w:ascii="Arial" w:eastAsia="Times New Roman" w:hAnsi="Arial" w:cs="Arial"/>
                <w:iCs/>
                <w:color w:val="auto"/>
                <w:lang w:eastAsia="ar-SA"/>
              </w:rPr>
              <w:t>Dofinansowanie stanowić będzie pomoc de minimis na podstawie Rozporządzeni</w:t>
            </w:r>
            <w:r>
              <w:rPr>
                <w:rFonts w:ascii="Arial" w:eastAsia="Times New Roman" w:hAnsi="Arial" w:cs="Arial"/>
                <w:iCs/>
                <w:color w:val="auto"/>
                <w:lang w:eastAsia="ar-SA"/>
              </w:rPr>
              <w:t>a</w:t>
            </w:r>
            <w:r w:rsidRPr="00EC2312">
              <w:rPr>
                <w:rFonts w:ascii="Arial" w:eastAsia="Times New Roman" w:hAnsi="Arial" w:cs="Arial"/>
                <w:iCs/>
                <w:color w:val="auto"/>
                <w:lang w:eastAsia="ar-SA"/>
              </w:rPr>
              <w:t xml:space="preserve">  Komisji (UE) 2023/2832 z dnia 13 grudnia 2023 r. w sprawie stosowania art. 107 i 108 Traktatu o funkcjonowaniu Unii Europejskiej do pomocy de minimis przyznawanej przedsiębiorstwom wykonującym usługi świadczone w ogólnym interesie gospodarczym</w:t>
            </w:r>
            <w:r>
              <w:rPr>
                <w:rFonts w:ascii="Arial" w:eastAsia="Times New Roman" w:hAnsi="Arial" w:cs="Arial"/>
                <w:iCs/>
                <w:color w:val="auto"/>
                <w:lang w:eastAsia="ar-SA"/>
              </w:rPr>
              <w:t xml:space="preserve"> –</w:t>
            </w:r>
            <w:r w:rsidRPr="00EC2312">
              <w:rPr>
                <w:rFonts w:ascii="Arial" w:eastAsia="Times New Roman" w:hAnsi="Arial" w:cs="Arial"/>
                <w:iCs/>
                <w:color w:val="auto"/>
                <w:lang w:eastAsia="ar-SA"/>
              </w:rPr>
              <w:t xml:space="preserve">rozporządzenie powinno stosować się wyłącznie do pomocy przyznanej na wykonywanie usług świadczonych w ogólnym interesie gospodarczym. </w:t>
            </w:r>
            <w:r>
              <w:rPr>
                <w:rFonts w:ascii="Arial" w:eastAsia="Times New Roman" w:hAnsi="Arial" w:cs="Arial"/>
                <w:iCs/>
                <w:color w:val="auto"/>
                <w:lang w:eastAsia="ar-SA"/>
              </w:rPr>
              <w:t>Koniecznym jest potwierdzenie, że p</w:t>
            </w:r>
            <w:r w:rsidRPr="00EC2312">
              <w:rPr>
                <w:rFonts w:ascii="Arial" w:eastAsia="Times New Roman" w:hAnsi="Arial" w:cs="Arial"/>
                <w:iCs/>
                <w:color w:val="auto"/>
                <w:lang w:eastAsia="ar-SA"/>
              </w:rPr>
              <w:t xml:space="preserve">rzedsiębiorstwu korzystającemu z pomocy </w:t>
            </w:r>
            <w:r>
              <w:rPr>
                <w:rFonts w:ascii="Arial" w:eastAsia="Times New Roman" w:hAnsi="Arial" w:cs="Arial"/>
                <w:iCs/>
                <w:color w:val="auto"/>
                <w:lang w:eastAsia="ar-SA"/>
              </w:rPr>
              <w:t>powierzono</w:t>
            </w:r>
            <w:r w:rsidRPr="00EC2312">
              <w:rPr>
                <w:rFonts w:ascii="Arial" w:eastAsia="Times New Roman" w:hAnsi="Arial" w:cs="Arial"/>
                <w:iCs/>
                <w:color w:val="auto"/>
                <w:lang w:eastAsia="ar-SA"/>
              </w:rPr>
              <w:t xml:space="preserve"> na piśmie lub w formie elektronicznej wykonywanie usługi świadczonej w ogólnym interesie gospodarczym, na którą przyznawana jest pomoc</w:t>
            </w:r>
            <w:r>
              <w:rPr>
                <w:rFonts w:ascii="Arial" w:eastAsia="Times New Roman" w:hAnsi="Arial" w:cs="Arial"/>
                <w:iCs/>
                <w:color w:val="auto"/>
                <w:lang w:eastAsia="ar-SA"/>
              </w:rPr>
              <w:t xml:space="preserve">. Należy mieć na uwadze, że pomoc de minimis uzyskana w ramach dofinansowania oraz pomoc de minimis na świadczenie usługi muszą mieścić się w limicie pomocy de minimis (750 tys. Euro na jedno przedsiębiorstwo w okresie 3 lat). </w:t>
            </w:r>
          </w:p>
          <w:p w14:paraId="10A6D2F3" w14:textId="6D12EA35" w:rsidR="00FB2E6E" w:rsidRDefault="00FE7A79" w:rsidP="00FE7A79">
            <w:pPr>
              <w:pStyle w:val="Default"/>
              <w:spacing w:after="120" w:line="276" w:lineRule="auto"/>
              <w:ind w:left="308"/>
              <w:rPr>
                <w:rFonts w:ascii="Arial" w:eastAsia="Times New Roman" w:hAnsi="Arial" w:cs="Arial"/>
                <w:iCs/>
                <w:color w:val="auto"/>
                <w:lang w:eastAsia="ar-SA"/>
              </w:rPr>
            </w:pPr>
            <w:r>
              <w:rPr>
                <w:rFonts w:ascii="Arial" w:eastAsia="Times New Roman" w:hAnsi="Arial" w:cs="Arial"/>
                <w:iCs/>
                <w:color w:val="auto"/>
                <w:lang w:eastAsia="ar-SA"/>
              </w:rPr>
              <w:t>W przypadku gdy o dofinansowanie ubiegać się będzie:</w:t>
            </w:r>
          </w:p>
          <w:p w14:paraId="09AFE48D" w14:textId="758C8D9B" w:rsidR="00FE7A79" w:rsidRDefault="00FE7A79" w:rsidP="006926A6">
            <w:pPr>
              <w:pStyle w:val="Default"/>
              <w:numPr>
                <w:ilvl w:val="0"/>
                <w:numId w:val="64"/>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Organizator, który powierzył świadczenie usług w trybie spełniającym kryteria z orzeczenia ws. Altmark Transt Gmbh wówczas:</w:t>
            </w:r>
          </w:p>
          <w:p w14:paraId="2C217AB5" w14:textId="109E1387" w:rsidR="00FE7A79" w:rsidRDefault="00FE7A79"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NIE (lub częściowo jeżeli w projekcie uwzględniono część objętą pomocą)</w:t>
            </w:r>
            <w:r w:rsidR="00233D1B">
              <w:rPr>
                <w:rFonts w:ascii="Arial" w:eastAsia="Times New Roman" w:hAnsi="Arial" w:cs="Arial"/>
                <w:iCs/>
                <w:color w:val="auto"/>
                <w:lang w:eastAsia="ar-SA"/>
              </w:rPr>
              <w:t>;</w:t>
            </w:r>
          </w:p>
          <w:p w14:paraId="2B3CA466" w14:textId="1C84DC0F" w:rsidR="00FE7A79" w:rsidRDefault="00FE7A79"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 że operator nie uzyska innej korzyści niż ta wynikają</w:t>
            </w:r>
            <w:r w:rsidR="00233D1B">
              <w:rPr>
                <w:rFonts w:ascii="Arial" w:eastAsia="Times New Roman" w:hAnsi="Arial" w:cs="Arial"/>
                <w:iCs/>
                <w:color w:val="auto"/>
                <w:lang w:eastAsia="ar-SA"/>
              </w:rPr>
              <w:t>ca z wynagrodzenia oraz że na etapie ogłaszania postępowania wskazano warunki udostępniania taboru</w:t>
            </w:r>
            <w:r w:rsidR="00600EC1">
              <w:rPr>
                <w:rFonts w:ascii="Arial" w:eastAsia="Times New Roman" w:hAnsi="Arial" w:cs="Arial"/>
                <w:iCs/>
                <w:color w:val="auto"/>
                <w:lang w:eastAsia="ar-SA"/>
              </w:rPr>
              <w:t>. Konieczne jest określenie formy udostępnienia majątku operatorowi</w:t>
            </w:r>
            <w:r w:rsidR="00233D1B">
              <w:rPr>
                <w:rFonts w:ascii="Arial" w:eastAsia="Times New Roman" w:hAnsi="Arial" w:cs="Arial"/>
                <w:iCs/>
                <w:color w:val="auto"/>
                <w:lang w:eastAsia="ar-SA"/>
              </w:rPr>
              <w:t>;</w:t>
            </w:r>
          </w:p>
          <w:p w14:paraId="46EC826D" w14:textId="4F61B275" w:rsidR="00233D1B" w:rsidRDefault="00233D1B"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I.1.2.3A należy przedstawić informacji potwierdzające, że organizator realizuje w ramach projektu zadania wynikające z przepisów prawa w zakresie organizacji transportu publicznego. Należy wskazać również zakres świadczonej usługi oraz opisać </w:t>
            </w:r>
            <w:r>
              <w:rPr>
                <w:rFonts w:ascii="Arial" w:eastAsia="Times New Roman" w:hAnsi="Arial" w:cs="Arial"/>
                <w:iCs/>
                <w:color w:val="auto"/>
                <w:lang w:eastAsia="ar-SA"/>
              </w:rPr>
              <w:lastRenderedPageBreak/>
              <w:t>sposób powierzenia świadczenia usług (tryb, czas obowiązywania umowy). Dodatkowo w tym punkcie należy</w:t>
            </w:r>
            <w:r>
              <w:t xml:space="preserve"> </w:t>
            </w:r>
            <w:r w:rsidRPr="00233D1B">
              <w:rPr>
                <w:rFonts w:ascii="Arial" w:eastAsia="Times New Roman" w:hAnsi="Arial" w:cs="Arial"/>
                <w:iCs/>
                <w:color w:val="auto"/>
                <w:lang w:eastAsia="ar-SA"/>
              </w:rPr>
              <w:t xml:space="preserve">potwierdzić, że wybór operatora nastąpił w trybie konkurencyjnym w tym, że w postępowaniu uczestniczył więcej niż jeden oferent. Ponadto należy </w:t>
            </w:r>
            <w:r>
              <w:rPr>
                <w:rFonts w:ascii="Arial" w:eastAsia="Times New Roman" w:hAnsi="Arial" w:cs="Arial"/>
                <w:iCs/>
                <w:color w:val="auto"/>
                <w:lang w:eastAsia="ar-SA"/>
              </w:rPr>
              <w:t xml:space="preserve">odnieść się do każdego z warunków wynikających z orzeczenia ws. Altmark Trans Gmbh w tym </w:t>
            </w:r>
            <w:r w:rsidRPr="00233D1B">
              <w:rPr>
                <w:rFonts w:ascii="Arial" w:eastAsia="Times New Roman" w:hAnsi="Arial" w:cs="Arial"/>
                <w:iCs/>
                <w:color w:val="auto"/>
                <w:lang w:eastAsia="ar-SA"/>
              </w:rPr>
              <w:t>wykazać, że na etapie ogłoszenia postępowania została uwzględniona informacja nt. możliwości ubiegania się o dofinansowanie w oparciu środki FEM na lata 2021- 2027 jak również, że umowa powierzenia uwzględnia wpływ dofinansowania na wysokość wynagrodzenia</w:t>
            </w:r>
            <w:r>
              <w:rPr>
                <w:rFonts w:ascii="Arial" w:eastAsia="Times New Roman" w:hAnsi="Arial" w:cs="Arial"/>
                <w:iCs/>
                <w:color w:val="auto"/>
                <w:lang w:eastAsia="ar-SA"/>
              </w:rPr>
              <w:t>.</w:t>
            </w:r>
          </w:p>
          <w:p w14:paraId="13C5B357" w14:textId="5F1D3347" w:rsidR="00233D1B" w:rsidRDefault="00600EC1" w:rsidP="00600EC1">
            <w:pPr>
              <w:pStyle w:val="Default"/>
              <w:spacing w:after="120" w:line="276" w:lineRule="auto"/>
              <w:ind w:left="1440"/>
              <w:rPr>
                <w:rFonts w:ascii="Arial" w:eastAsia="Times New Roman" w:hAnsi="Arial" w:cs="Arial"/>
                <w:iCs/>
                <w:color w:val="auto"/>
                <w:lang w:eastAsia="ar-SA"/>
              </w:rPr>
            </w:pPr>
            <w:r>
              <w:rPr>
                <w:rFonts w:ascii="Arial" w:eastAsia="Times New Roman" w:hAnsi="Arial" w:cs="Arial"/>
                <w:iCs/>
                <w:color w:val="auto"/>
                <w:lang w:eastAsia="ar-SA"/>
              </w:rPr>
              <w:t xml:space="preserve">W sytuacji, w której powierzenie jest na okres krótszy niż okres ekonomicznej użyteczności infrastruktury należy przedstawić informacje potwierdzające, że kolejne powierzenie nastąpi również na zasadach określonych w orzeczeniu w sprawie Altmark Trans Gmbh (patrz kolejny pkt); </w:t>
            </w:r>
          </w:p>
          <w:p w14:paraId="790E404A" w14:textId="3426474C" w:rsidR="00233D1B" w:rsidRDefault="00233D1B" w:rsidP="00233D1B">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I.1.2.3B - pkt I.1.2.4E – należy wypełnić zgodnie z wymogami określonymi w Instrukcji wypełniania wniosku w systemie IGA (patrz str 53 -61).</w:t>
            </w:r>
          </w:p>
          <w:p w14:paraId="16DC4DE4" w14:textId="0BAAB3AE" w:rsidR="00233D1B" w:rsidRDefault="00233D1B" w:rsidP="00233D1B">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części U przedstawić </w:t>
            </w:r>
            <w:r w:rsidR="00600EC1">
              <w:rPr>
                <w:rFonts w:ascii="Arial" w:eastAsia="Times New Roman" w:hAnsi="Arial" w:cs="Arial"/>
                <w:iCs/>
                <w:color w:val="auto"/>
                <w:lang w:eastAsia="ar-SA"/>
              </w:rPr>
              <w:t>umowę powierzenia oraz ew. harmonogram kolejnego powierzenia świadczenia usług wraz założeniami następnego powierzenia (tryb, zakres świadczenia, sposób udostępnienia majątku, wykazać zgodność z ustawą o publicznym transporcie zbiorowym);</w:t>
            </w:r>
          </w:p>
          <w:p w14:paraId="32AD94BD" w14:textId="461BCA5F" w:rsidR="00233D1B" w:rsidRDefault="00233D1B" w:rsidP="00600EC1">
            <w:pPr>
              <w:pStyle w:val="Default"/>
              <w:numPr>
                <w:ilvl w:val="0"/>
                <w:numId w:val="64"/>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Organizator, który planuje powierzyć świadczenie usług w trybie spełniającym kryteria z orzeczenia ws. Altmark Transt Gmbh wówczas</w:t>
            </w:r>
            <w:r w:rsidR="00600EC1">
              <w:rPr>
                <w:rFonts w:ascii="Arial" w:eastAsia="Times New Roman" w:hAnsi="Arial" w:cs="Arial"/>
                <w:iCs/>
                <w:color w:val="auto"/>
                <w:lang w:eastAsia="ar-SA"/>
              </w:rPr>
              <w:t>:</w:t>
            </w:r>
          </w:p>
          <w:p w14:paraId="763E0C74" w14:textId="77777777" w:rsidR="00600EC1" w:rsidRDefault="00600EC1" w:rsidP="00600EC1">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NIE (lub częściowo jeżeli w projekcie uwzględniono część objętą pomocą);</w:t>
            </w:r>
          </w:p>
          <w:p w14:paraId="4570BEDE" w14:textId="35480AE1" w:rsidR="00600EC1" w:rsidRDefault="00600EC1" w:rsidP="00600EC1">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 że operator nie uzyska innej korzyści niż ta wynikająca z wynagrodzenia oraz że na etapie ogłaszania postępowania wskazane zostaną warunki udostępniania taboru. Konieczne jest określenie formy udostępnienia majątku operatorowi ;</w:t>
            </w:r>
          </w:p>
          <w:p w14:paraId="69D13009" w14:textId="46CA2F24" w:rsidR="00600EC1" w:rsidRDefault="00600EC1" w:rsidP="00600EC1">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I.1.2.3A należy przedstawić informacji potwierdzające, że organizator realizuje w ramach projektu zadania wynikające z przepisów prawa w zakresie organizacji transportu publicznego. Należy wskazać również planowany zakres świadczonej usługi oraz opisać sposób planowany powierzenia świadczenia usług (tryb, czas obowiązywania umowy). Dodatkowo w tym punkcie należy</w:t>
            </w:r>
            <w:r>
              <w:t xml:space="preserve"> </w:t>
            </w:r>
            <w:r w:rsidRPr="00233D1B">
              <w:rPr>
                <w:rFonts w:ascii="Arial" w:eastAsia="Times New Roman" w:hAnsi="Arial" w:cs="Arial"/>
                <w:iCs/>
                <w:color w:val="auto"/>
                <w:lang w:eastAsia="ar-SA"/>
              </w:rPr>
              <w:t xml:space="preserve">potwierdzić, że wybór operatora </w:t>
            </w:r>
            <w:r>
              <w:rPr>
                <w:rFonts w:ascii="Arial" w:eastAsia="Times New Roman" w:hAnsi="Arial" w:cs="Arial"/>
                <w:iCs/>
                <w:color w:val="auto"/>
                <w:lang w:eastAsia="ar-SA"/>
              </w:rPr>
              <w:t>nastąpi</w:t>
            </w:r>
            <w:r w:rsidRPr="00233D1B">
              <w:rPr>
                <w:rFonts w:ascii="Arial" w:eastAsia="Times New Roman" w:hAnsi="Arial" w:cs="Arial"/>
                <w:iCs/>
                <w:color w:val="auto"/>
                <w:lang w:eastAsia="ar-SA"/>
              </w:rPr>
              <w:t xml:space="preserve"> w trybie konkurencyjnym</w:t>
            </w:r>
            <w:r>
              <w:rPr>
                <w:rFonts w:ascii="Arial" w:eastAsia="Times New Roman" w:hAnsi="Arial" w:cs="Arial"/>
                <w:iCs/>
                <w:color w:val="auto"/>
                <w:lang w:eastAsia="ar-SA"/>
              </w:rPr>
              <w:t xml:space="preserve">. </w:t>
            </w:r>
            <w:r>
              <w:rPr>
                <w:rFonts w:ascii="Arial" w:eastAsia="Times New Roman" w:hAnsi="Arial" w:cs="Arial"/>
                <w:iCs/>
                <w:color w:val="auto"/>
                <w:lang w:eastAsia="ar-SA"/>
              </w:rPr>
              <w:lastRenderedPageBreak/>
              <w:t>Organizator musi również potwierdzić, że przyjmuje ryzyko, że w sytuacji gdy podstępowanie nie będzie konkurencyjne wówczas brak będzie możliwości potwierdzenia kryteriów z Altmark, a tym samym rekompensata (a co za tym idzie dofinansowanie) będzie stanowiło pomoc publiczną.</w:t>
            </w:r>
            <w:r w:rsidRPr="00233D1B">
              <w:rPr>
                <w:rFonts w:ascii="Arial" w:eastAsia="Times New Roman" w:hAnsi="Arial" w:cs="Arial"/>
                <w:iCs/>
                <w:color w:val="auto"/>
                <w:lang w:eastAsia="ar-SA"/>
              </w:rPr>
              <w:t xml:space="preserve"> </w:t>
            </w:r>
          </w:p>
          <w:p w14:paraId="115726E3" w14:textId="3940EEE4" w:rsidR="00600EC1" w:rsidRDefault="00600EC1" w:rsidP="006926A6">
            <w:pPr>
              <w:pStyle w:val="Default"/>
              <w:spacing w:after="120" w:line="276" w:lineRule="auto"/>
              <w:ind w:left="1440"/>
              <w:rPr>
                <w:rFonts w:ascii="Arial" w:eastAsia="Times New Roman" w:hAnsi="Arial" w:cs="Arial"/>
                <w:iCs/>
                <w:color w:val="auto"/>
                <w:lang w:eastAsia="ar-SA"/>
              </w:rPr>
            </w:pPr>
            <w:r w:rsidRPr="00233D1B">
              <w:rPr>
                <w:rFonts w:ascii="Arial" w:eastAsia="Times New Roman" w:hAnsi="Arial" w:cs="Arial"/>
                <w:iCs/>
                <w:color w:val="auto"/>
                <w:lang w:eastAsia="ar-SA"/>
              </w:rPr>
              <w:t xml:space="preserve">Ponadto należy </w:t>
            </w:r>
            <w:r>
              <w:rPr>
                <w:rFonts w:ascii="Arial" w:eastAsia="Times New Roman" w:hAnsi="Arial" w:cs="Arial"/>
                <w:iCs/>
                <w:color w:val="auto"/>
                <w:lang w:eastAsia="ar-SA"/>
              </w:rPr>
              <w:t xml:space="preserve">odnieść się do każdego z warunków wynikających z orzeczenia ws. Altmark Trans Gmbh w tym </w:t>
            </w:r>
            <w:r w:rsidRPr="00233D1B">
              <w:rPr>
                <w:rFonts w:ascii="Arial" w:eastAsia="Times New Roman" w:hAnsi="Arial" w:cs="Arial"/>
                <w:iCs/>
                <w:color w:val="auto"/>
                <w:lang w:eastAsia="ar-SA"/>
              </w:rPr>
              <w:t>wykazać, że na etapie ogłoszenia postępowania zostanie uwzględniona informacja nt. możliwości ubiegania się o dofinansowanie w oparciu środki FEM na lata 2021- 2027 jak również, że umowa powierzenia będzie uwzględniać wpływ dofinansowania na wysokość wynagrodzenia</w:t>
            </w:r>
            <w:r>
              <w:rPr>
                <w:rFonts w:ascii="Arial" w:eastAsia="Times New Roman" w:hAnsi="Arial" w:cs="Arial"/>
                <w:iCs/>
                <w:color w:val="auto"/>
                <w:lang w:eastAsia="ar-SA"/>
              </w:rPr>
              <w:t>.</w:t>
            </w:r>
          </w:p>
          <w:p w14:paraId="577B9CF1" w14:textId="33097B38" w:rsidR="00600EC1" w:rsidRDefault="00600EC1" w:rsidP="00600EC1">
            <w:pPr>
              <w:pStyle w:val="Default"/>
              <w:spacing w:after="120" w:line="276" w:lineRule="auto"/>
              <w:ind w:left="1440"/>
              <w:rPr>
                <w:rFonts w:ascii="Arial" w:eastAsia="Times New Roman" w:hAnsi="Arial" w:cs="Arial"/>
                <w:iCs/>
                <w:color w:val="auto"/>
                <w:lang w:eastAsia="ar-SA"/>
              </w:rPr>
            </w:pPr>
            <w:r>
              <w:rPr>
                <w:rFonts w:ascii="Arial" w:eastAsia="Times New Roman" w:hAnsi="Arial" w:cs="Arial"/>
                <w:iCs/>
                <w:color w:val="auto"/>
                <w:lang w:eastAsia="ar-SA"/>
              </w:rPr>
              <w:t xml:space="preserve">W sytuacji, w której powierzenie nastąpi na okres krótszy niż okres ekonomicznej użyteczności infrastruktury należy przedstawić informacje potwierdzające, że kolejne powierzenie nastąpi również na zasadach określonych w orzeczeniu w sprawie Altmark Trans Gmbh; </w:t>
            </w:r>
          </w:p>
          <w:p w14:paraId="3C40B885" w14:textId="4585BD13" w:rsidR="00600EC1" w:rsidRDefault="00600EC1" w:rsidP="00600EC1">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I.1.2.3B - pkt I.1.2.4E – należy wypełnić zgodnie z wymogami określonymi w Instrukcji wypełniania wniosku w systemie IGA (patrz str 53 -61).</w:t>
            </w:r>
            <w:r w:rsidR="00AD4374">
              <w:rPr>
                <w:rFonts w:ascii="Arial" w:eastAsia="Times New Roman" w:hAnsi="Arial" w:cs="Arial"/>
                <w:iCs/>
                <w:color w:val="auto"/>
                <w:lang w:eastAsia="ar-SA"/>
              </w:rPr>
              <w:t xml:space="preserve"> </w:t>
            </w:r>
          </w:p>
          <w:p w14:paraId="6282F2AC" w14:textId="77777777" w:rsidR="00600EC1" w:rsidRDefault="00600EC1" w:rsidP="00600EC1">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części U przedstawić projekt umowy powierzenia lub założenia umowy (tryb, zakres świadczenia, sposób udostępnienia majątku, wykazać zgodność z ustawą o publicznym transporcie zbiorowym) oraz harmonogram kolejnego powierzenia świadczenia usługi;</w:t>
            </w:r>
          </w:p>
          <w:p w14:paraId="19F3A088" w14:textId="46D6961C" w:rsidR="00600EC1" w:rsidRDefault="00767703" w:rsidP="00767703">
            <w:pPr>
              <w:pStyle w:val="Default"/>
              <w:numPr>
                <w:ilvl w:val="0"/>
                <w:numId w:val="64"/>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Organizator, który planuje bezpośrednie powierzenia świadczenia usług na rzecz własnej spółki</w:t>
            </w:r>
            <w:r w:rsidR="006926A6">
              <w:rPr>
                <w:rFonts w:ascii="Arial" w:eastAsia="Times New Roman" w:hAnsi="Arial" w:cs="Arial"/>
                <w:iCs/>
                <w:color w:val="auto"/>
                <w:lang w:eastAsia="ar-SA"/>
              </w:rPr>
              <w:t xml:space="preserve"> lub jednostki organizacyjnej nie posiadającej osobowości prawnej</w:t>
            </w:r>
            <w:r>
              <w:rPr>
                <w:rFonts w:ascii="Arial" w:eastAsia="Times New Roman" w:hAnsi="Arial" w:cs="Arial"/>
                <w:iCs/>
                <w:color w:val="auto"/>
                <w:lang w:eastAsia="ar-SA"/>
              </w:rPr>
              <w:t>:</w:t>
            </w:r>
          </w:p>
          <w:p w14:paraId="332DF4A5" w14:textId="5899C7ED" w:rsidR="00767703" w:rsidRDefault="00767703" w:rsidP="00767703">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TAK (lub częściowo jeżeli w projekcie uwzględniono część nieobjętą pomocą) ;</w:t>
            </w:r>
          </w:p>
          <w:p w14:paraId="050F1AF0" w14:textId="74CF8700" w:rsidR="00767703" w:rsidRDefault="00767703" w:rsidP="00767703">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 że operator nie uzyska innej korzyści niż ta wynikająca z rekompensaty np. cena dzierżawy będzie mieć charakter rynkowy. Konieczne jest określenie formy udostępnienia majątku operatorowi;</w:t>
            </w:r>
          </w:p>
          <w:p w14:paraId="3720F471" w14:textId="37598482" w:rsidR="00767703" w:rsidRDefault="00767703"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064E6BEB" w14:textId="435FE758" w:rsidR="00767703" w:rsidRDefault="00767703" w:rsidP="00767703">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lastRenderedPageBreak/>
              <w:t xml:space="preserve">w pkt I.2.3B wybrać właściwy rodzaj pomocy oraz przedstawić Formularz informacji przedstawianych przy ubieganiu się o pomoc </w:t>
            </w:r>
            <w:r w:rsidR="006926A6">
              <w:rPr>
                <w:rFonts w:ascii="Arial" w:eastAsia="Times New Roman" w:hAnsi="Arial" w:cs="Arial"/>
                <w:iCs/>
                <w:color w:val="auto"/>
                <w:lang w:eastAsia="ar-SA"/>
              </w:rPr>
              <w:t>(wypełniony przez organizatora)</w:t>
            </w:r>
            <w:r>
              <w:rPr>
                <w:rFonts w:ascii="Arial" w:eastAsia="Times New Roman" w:hAnsi="Arial" w:cs="Arial"/>
                <w:iCs/>
                <w:color w:val="auto"/>
                <w:lang w:eastAsia="ar-SA"/>
              </w:rPr>
              <w:t>.</w:t>
            </w:r>
          </w:p>
          <w:p w14:paraId="098EDA2F" w14:textId="3B38744B" w:rsidR="00767703" w:rsidRDefault="00767703" w:rsidP="006926A6">
            <w:pPr>
              <w:pStyle w:val="Default"/>
              <w:numPr>
                <w:ilvl w:val="0"/>
                <w:numId w:val="65"/>
              </w:numPr>
              <w:spacing w:after="120" w:line="276" w:lineRule="auto"/>
              <w:rPr>
                <w:rFonts w:ascii="Arial" w:eastAsia="Times New Roman" w:hAnsi="Arial" w:cs="Arial"/>
                <w:iCs/>
                <w:color w:val="auto"/>
                <w:lang w:eastAsia="ar-SA"/>
              </w:rPr>
            </w:pPr>
            <w:r w:rsidRPr="006926A6">
              <w:rPr>
                <w:rFonts w:ascii="Arial" w:eastAsia="Times New Roman" w:hAnsi="Arial" w:cs="Arial"/>
                <w:iCs/>
                <w:color w:val="auto"/>
                <w:lang w:eastAsia="ar-SA"/>
              </w:rPr>
              <w:t xml:space="preserve">w </w:t>
            </w:r>
            <w:r w:rsidR="006926A6" w:rsidRPr="006926A6">
              <w:rPr>
                <w:rFonts w:ascii="Arial" w:eastAsia="Times New Roman" w:hAnsi="Arial" w:cs="Arial"/>
                <w:iCs/>
                <w:color w:val="auto"/>
                <w:lang w:eastAsia="ar-SA"/>
              </w:rPr>
              <w:t>pkt I.6.13 przedstawić informacje wymagane zapisami Instrukcji wypełniania wniosku w systemie IGA (patrz str. 74-75) oraz przedstawić dokumenty</w:t>
            </w:r>
            <w:r w:rsidR="006926A6">
              <w:t xml:space="preserve"> </w:t>
            </w:r>
            <w:r w:rsidR="006926A6">
              <w:rPr>
                <w:rFonts w:ascii="Arial" w:eastAsia="Times New Roman" w:hAnsi="Arial" w:cs="Arial"/>
                <w:iCs/>
                <w:color w:val="auto"/>
                <w:lang w:eastAsia="ar-SA"/>
              </w:rPr>
              <w:t xml:space="preserve">regulujące </w:t>
            </w:r>
            <w:r w:rsidR="006926A6" w:rsidRPr="006926A6">
              <w:rPr>
                <w:rFonts w:ascii="Arial" w:eastAsia="Times New Roman" w:hAnsi="Arial" w:cs="Arial"/>
                <w:iCs/>
                <w:color w:val="auto"/>
                <w:lang w:eastAsia="ar-SA"/>
              </w:rPr>
              <w:t>kwestię powierzenia świadczenia UOIG</w:t>
            </w:r>
            <w:r w:rsidR="006926A6">
              <w:rPr>
                <w:rFonts w:ascii="Arial" w:eastAsia="Times New Roman" w:hAnsi="Arial" w:cs="Arial"/>
                <w:iCs/>
                <w:color w:val="auto"/>
                <w:lang w:eastAsia="ar-SA"/>
              </w:rPr>
              <w:t>;</w:t>
            </w:r>
          </w:p>
          <w:p w14:paraId="66AB7FAE" w14:textId="5DA31024" w:rsidR="006926A6" w:rsidRDefault="006926A6" w:rsidP="006926A6">
            <w:pPr>
              <w:pStyle w:val="Default"/>
              <w:numPr>
                <w:ilvl w:val="0"/>
                <w:numId w:val="44"/>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Operator, który świadczy usługi w trybie spełniającym kryteria z orzeczenia ws. Altmark Transt Gmbh wówczas:</w:t>
            </w:r>
          </w:p>
          <w:p w14:paraId="5C4E2507" w14:textId="77777777" w:rsidR="006926A6" w:rsidRDefault="006926A6"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NIE (lub częściowo jeżeli w projekcie uwzględniono część objętą pomocą);</w:t>
            </w:r>
          </w:p>
          <w:p w14:paraId="3CEF702F" w14:textId="640F938B" w:rsidR="006926A6" w:rsidRDefault="006926A6"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 że infrastruktura będzie udostępniana innym podmiotom na równych niedyskryminujących zasadach (jeżeli przewiduje się taką sytuację);</w:t>
            </w:r>
          </w:p>
          <w:p w14:paraId="60CF202E" w14:textId="117AD3E5" w:rsidR="006926A6" w:rsidRDefault="006926A6"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w pkt I.1.2.3A należy uzupełnić zgodnie z zapisami Instrukcji wypełniania wniosku w systemie IGA z uwzględnieniem formy prowadzonej działalności oraz zakresu świadczonych usług; </w:t>
            </w:r>
          </w:p>
          <w:p w14:paraId="48AF9177" w14:textId="1E57324E" w:rsidR="006926A6" w:rsidRDefault="006926A6" w:rsidP="00AD4374">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I.1.2.4.A należy przedstawić informacje potwierdzające, że operator świadczy usługi zlecone w trybie spełniającym warunki wynikające z orzeczenia ws. Altmark Trans Gmbh</w:t>
            </w:r>
            <w:r w:rsidR="00AD4374">
              <w:rPr>
                <w:rFonts w:ascii="Arial" w:eastAsia="Times New Roman" w:hAnsi="Arial" w:cs="Arial"/>
                <w:iCs/>
                <w:color w:val="auto"/>
                <w:lang w:eastAsia="ar-SA"/>
              </w:rPr>
              <w:t xml:space="preserve">. W szczególności należy </w:t>
            </w:r>
            <w:r w:rsidRPr="00233D1B">
              <w:rPr>
                <w:rFonts w:ascii="Arial" w:eastAsia="Times New Roman" w:hAnsi="Arial" w:cs="Arial"/>
                <w:iCs/>
                <w:color w:val="auto"/>
                <w:lang w:eastAsia="ar-SA"/>
              </w:rPr>
              <w:t>potwierdzić, że wybór operatora nastąpił w trybie konkurencyjnym</w:t>
            </w:r>
            <w:r w:rsidR="00AD4374">
              <w:rPr>
                <w:rFonts w:ascii="Arial" w:eastAsia="Times New Roman" w:hAnsi="Arial" w:cs="Arial"/>
                <w:iCs/>
                <w:color w:val="auto"/>
                <w:lang w:eastAsia="ar-SA"/>
              </w:rPr>
              <w:t xml:space="preserve"> (</w:t>
            </w:r>
            <w:r w:rsidRPr="00233D1B">
              <w:rPr>
                <w:rFonts w:ascii="Arial" w:eastAsia="Times New Roman" w:hAnsi="Arial" w:cs="Arial"/>
                <w:iCs/>
                <w:color w:val="auto"/>
                <w:lang w:eastAsia="ar-SA"/>
              </w:rPr>
              <w:t>w tym, że w postępowaniu uczestniczył więcej niż jeden oferent</w:t>
            </w:r>
            <w:r w:rsidR="00AD4374">
              <w:rPr>
                <w:rFonts w:ascii="Arial" w:eastAsia="Times New Roman" w:hAnsi="Arial" w:cs="Arial"/>
                <w:iCs/>
                <w:color w:val="auto"/>
                <w:lang w:eastAsia="ar-SA"/>
              </w:rPr>
              <w:t>)</w:t>
            </w:r>
            <w:r w:rsidRPr="00233D1B">
              <w:rPr>
                <w:rFonts w:ascii="Arial" w:eastAsia="Times New Roman" w:hAnsi="Arial" w:cs="Arial"/>
                <w:iCs/>
                <w:color w:val="auto"/>
                <w:lang w:eastAsia="ar-SA"/>
              </w:rPr>
              <w:t xml:space="preserve">. Ponadto należy </w:t>
            </w:r>
            <w:r>
              <w:rPr>
                <w:rFonts w:ascii="Arial" w:eastAsia="Times New Roman" w:hAnsi="Arial" w:cs="Arial"/>
                <w:iCs/>
                <w:color w:val="auto"/>
                <w:lang w:eastAsia="ar-SA"/>
              </w:rPr>
              <w:t xml:space="preserve">odnieść się do każdego z warunków wynikających z orzeczenia ws. Altmark Trans Gmbh w tym </w:t>
            </w:r>
            <w:r w:rsidRPr="00233D1B">
              <w:rPr>
                <w:rFonts w:ascii="Arial" w:eastAsia="Times New Roman" w:hAnsi="Arial" w:cs="Arial"/>
                <w:iCs/>
                <w:color w:val="auto"/>
                <w:lang w:eastAsia="ar-SA"/>
              </w:rPr>
              <w:t>wykazać, że na etapie ogłoszenia postępowania została uwzględniona informacja nt. możliwości ubiegania się o dofinansowanie w oparciu środki FEM na lata 2021- 2027 jak również, że umowa powierzenia uwzględnia wpływ dofinansowania na wysokość wynagrodzenia</w:t>
            </w:r>
            <w:r>
              <w:rPr>
                <w:rFonts w:ascii="Arial" w:eastAsia="Times New Roman" w:hAnsi="Arial" w:cs="Arial"/>
                <w:iCs/>
                <w:color w:val="auto"/>
                <w:lang w:eastAsia="ar-SA"/>
              </w:rPr>
              <w:t>.</w:t>
            </w:r>
          </w:p>
          <w:p w14:paraId="12C57FDB" w14:textId="5027134B" w:rsidR="00AD4374" w:rsidRDefault="006926A6" w:rsidP="00AD4374">
            <w:pPr>
              <w:pStyle w:val="Default"/>
              <w:spacing w:after="120" w:line="276" w:lineRule="auto"/>
              <w:ind w:left="1440"/>
              <w:rPr>
                <w:rFonts w:ascii="Arial" w:eastAsia="Times New Roman" w:hAnsi="Arial" w:cs="Arial"/>
                <w:iCs/>
                <w:color w:val="auto"/>
                <w:lang w:eastAsia="ar-SA"/>
              </w:rPr>
            </w:pPr>
            <w:r>
              <w:rPr>
                <w:rFonts w:ascii="Arial" w:eastAsia="Times New Roman" w:hAnsi="Arial" w:cs="Arial"/>
                <w:iCs/>
                <w:color w:val="auto"/>
                <w:lang w:eastAsia="ar-SA"/>
              </w:rPr>
              <w:t>W sytuacji, w której powierzenie jest na okres krótszy niż okres ekonomiczn</w:t>
            </w:r>
            <w:r w:rsidR="00AD4374">
              <w:rPr>
                <w:rFonts w:ascii="Arial" w:eastAsia="Times New Roman" w:hAnsi="Arial" w:cs="Arial"/>
                <w:iCs/>
                <w:color w:val="auto"/>
                <w:lang w:eastAsia="ar-SA"/>
              </w:rPr>
              <w:t xml:space="preserve">ej użyteczności infrastruktury </w:t>
            </w:r>
            <w:r w:rsidR="00AD4374" w:rsidRPr="00AD4374">
              <w:rPr>
                <w:rFonts w:ascii="Arial" w:eastAsia="Times New Roman" w:hAnsi="Arial" w:cs="Arial"/>
                <w:iCs/>
                <w:color w:val="auto"/>
                <w:lang w:eastAsia="ar-SA"/>
              </w:rPr>
              <w:t>konieczne jest przedstawienie informacji</w:t>
            </w:r>
            <w:r w:rsidR="00AD4374">
              <w:rPr>
                <w:rFonts w:ascii="Arial" w:eastAsia="Times New Roman" w:hAnsi="Arial" w:cs="Arial"/>
                <w:iCs/>
                <w:color w:val="auto"/>
                <w:lang w:eastAsia="ar-SA"/>
              </w:rPr>
              <w:t xml:space="preserve"> potwierdzających </w:t>
            </w:r>
            <w:r w:rsidR="00AD4374" w:rsidRPr="00AD4374">
              <w:rPr>
                <w:rFonts w:ascii="Arial" w:eastAsia="Times New Roman" w:hAnsi="Arial" w:cs="Arial"/>
                <w:iCs/>
                <w:color w:val="auto"/>
                <w:lang w:eastAsia="ar-SA"/>
              </w:rPr>
              <w:t>umowa powierzenie przewiduje rozliczenie rekompensaty odpowiadającej niezamortyzowanej wartości zakupionej/wybudowanej w ramach projektu infrastruktury. Rozliczenie obejmować może przewidywać w szczególności zwrot środków, przekazanie infrastruktury kolejnemu operatorowi lub organizatorowi</w:t>
            </w:r>
            <w:r w:rsidR="00AD4374">
              <w:rPr>
                <w:rFonts w:ascii="Arial" w:eastAsia="Times New Roman" w:hAnsi="Arial" w:cs="Arial"/>
                <w:iCs/>
                <w:color w:val="auto"/>
                <w:lang w:eastAsia="ar-SA"/>
              </w:rPr>
              <w:t xml:space="preserve"> (pomniejszonej o wszelką otrzymaną pomoc)</w:t>
            </w:r>
            <w:r w:rsidR="00AD4374" w:rsidRPr="00AD4374">
              <w:rPr>
                <w:rFonts w:ascii="Arial" w:eastAsia="Times New Roman" w:hAnsi="Arial" w:cs="Arial"/>
                <w:iCs/>
                <w:color w:val="auto"/>
                <w:lang w:eastAsia="ar-SA"/>
              </w:rPr>
              <w:t>.</w:t>
            </w:r>
          </w:p>
          <w:p w14:paraId="649033A1" w14:textId="049309E7" w:rsidR="006926A6" w:rsidRDefault="006926A6" w:rsidP="006926A6">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lastRenderedPageBreak/>
              <w:t>w pkt I.1.2.</w:t>
            </w:r>
            <w:r w:rsidR="00AD4374">
              <w:rPr>
                <w:rFonts w:ascii="Arial" w:eastAsia="Times New Roman" w:hAnsi="Arial" w:cs="Arial"/>
                <w:iCs/>
                <w:color w:val="auto"/>
                <w:lang w:eastAsia="ar-SA"/>
              </w:rPr>
              <w:t>4</w:t>
            </w:r>
            <w:r>
              <w:rPr>
                <w:rFonts w:ascii="Arial" w:eastAsia="Times New Roman" w:hAnsi="Arial" w:cs="Arial"/>
                <w:iCs/>
                <w:color w:val="auto"/>
                <w:lang w:eastAsia="ar-SA"/>
              </w:rPr>
              <w:t>B - pkt I.1.2.4E – należy wypełnić zgodnie z wymogami określonymi w Instrukcji wypełniania wniosku w systemie IGA (patrz str 53 -61).</w:t>
            </w:r>
            <w:r w:rsidR="00AD4374">
              <w:rPr>
                <w:rFonts w:ascii="Arial" w:eastAsia="Times New Roman" w:hAnsi="Arial" w:cs="Arial"/>
                <w:iCs/>
                <w:color w:val="auto"/>
                <w:lang w:eastAsia="ar-SA"/>
              </w:rPr>
              <w:t xml:space="preserve"> </w:t>
            </w:r>
          </w:p>
          <w:p w14:paraId="6E87E062" w14:textId="67D7A568" w:rsidR="00AD4374" w:rsidRPr="00AD4374" w:rsidRDefault="006926A6" w:rsidP="00AD4374">
            <w:pPr>
              <w:pStyle w:val="Akapitzlist"/>
              <w:numPr>
                <w:ilvl w:val="0"/>
                <w:numId w:val="65"/>
              </w:numPr>
              <w:rPr>
                <w:rFonts w:ascii="Arial" w:eastAsia="Times New Roman" w:hAnsi="Arial" w:cs="Arial"/>
                <w:iCs/>
                <w:sz w:val="24"/>
                <w:szCs w:val="24"/>
                <w:lang w:eastAsia="ar-SA"/>
              </w:rPr>
            </w:pPr>
            <w:r w:rsidRPr="00AD4374">
              <w:rPr>
                <w:rFonts w:ascii="Arial" w:eastAsia="Times New Roman" w:hAnsi="Arial" w:cs="Arial"/>
                <w:iCs/>
                <w:sz w:val="24"/>
                <w:lang w:eastAsia="ar-SA"/>
              </w:rPr>
              <w:t>w części U przedstawić umowę powierzenia</w:t>
            </w:r>
            <w:r w:rsidR="00AD4374" w:rsidRPr="00AD4374">
              <w:rPr>
                <w:rFonts w:ascii="Arial" w:eastAsia="Times New Roman" w:hAnsi="Arial" w:cs="Arial"/>
                <w:iCs/>
                <w:sz w:val="24"/>
                <w:lang w:eastAsia="ar-SA"/>
              </w:rPr>
              <w:t xml:space="preserve"> oraz </w:t>
            </w:r>
            <w:r w:rsidR="00AD4374" w:rsidRPr="00AD4374">
              <w:rPr>
                <w:rFonts w:ascii="Arial" w:eastAsia="Times New Roman" w:hAnsi="Arial" w:cs="Arial"/>
                <w:iCs/>
                <w:sz w:val="24"/>
                <w:szCs w:val="24"/>
                <w:lang w:eastAsia="ar-SA"/>
              </w:rPr>
              <w:t>zgody organizatora na ubieganie się o środki na zakup taboru przez operatora wraz z informacją, że sytuacja ta była przewidziana na etapie powierzenia świadczenia usługi (w przypadku gdy powierzenie nastąpiło w trybie przetargowym konieczne jest wskazanie, że ogłoszenie o postępowaniu zawierało taką informację)</w:t>
            </w:r>
            <w:r w:rsidR="00C52B39">
              <w:rPr>
                <w:rFonts w:ascii="Arial" w:eastAsia="Times New Roman" w:hAnsi="Arial" w:cs="Arial"/>
                <w:iCs/>
                <w:sz w:val="24"/>
                <w:szCs w:val="24"/>
                <w:lang w:eastAsia="ar-SA"/>
              </w:rPr>
              <w:t>.</w:t>
            </w:r>
            <w:r w:rsidR="00AD4374" w:rsidRPr="00AD4374">
              <w:rPr>
                <w:rFonts w:ascii="Arial" w:eastAsia="Times New Roman" w:hAnsi="Arial" w:cs="Arial"/>
                <w:iCs/>
                <w:sz w:val="24"/>
                <w:szCs w:val="24"/>
                <w:lang w:eastAsia="ar-SA"/>
              </w:rPr>
              <w:t xml:space="preserve"> Dodatkowo konieczne jest przedstawienie informacji ze strony organizatora w zakresie potwierdzającym, że dofinansowanie nie spowoduje nadmierności rekompensaty. </w:t>
            </w:r>
          </w:p>
          <w:p w14:paraId="65CE4A53" w14:textId="55630E9E" w:rsidR="00AD4374" w:rsidRDefault="00AD4374" w:rsidP="00AD4374">
            <w:pPr>
              <w:pStyle w:val="Default"/>
              <w:numPr>
                <w:ilvl w:val="0"/>
                <w:numId w:val="64"/>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Operator, który planuje ubiegać się o świadczenie usług w trybie spełniającym kryteria z orzeczenia ws. Altmark Transt Gmbh – nie ma możliwości wsparcia ze środków FEM podmiotu, który nie świadczy usług transportowych na moment złożenie wniosku o dofinansowanie;</w:t>
            </w:r>
          </w:p>
          <w:p w14:paraId="5434B00B" w14:textId="57CF6C40" w:rsidR="00AD4374" w:rsidRDefault="00AD4374" w:rsidP="00AD4374">
            <w:pPr>
              <w:pStyle w:val="Default"/>
              <w:numPr>
                <w:ilvl w:val="0"/>
                <w:numId w:val="64"/>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Organizator, który świadczy usługi bezpośrednio powierzone:</w:t>
            </w:r>
          </w:p>
          <w:p w14:paraId="313938A8" w14:textId="77777777" w:rsidR="00AD4374" w:rsidRDefault="00AD4374" w:rsidP="00AD4374">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odznacza TAK (lub częściowo jeżeli w projekcie uwzględniono część nieobjętą pomocą) ;</w:t>
            </w:r>
          </w:p>
          <w:p w14:paraId="7B3F4790" w14:textId="3534BAA6" w:rsidR="00AD4374" w:rsidRDefault="00AD4374" w:rsidP="00AD4374">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I.1.1A powinien odznaczyć NIE i w pkt I.7.1 wykazać,</w:t>
            </w:r>
            <w:r>
              <w:t xml:space="preserve"> </w:t>
            </w:r>
            <w:r w:rsidRPr="00AD4374">
              <w:rPr>
                <w:rFonts w:ascii="Arial" w:eastAsia="Times New Roman" w:hAnsi="Arial" w:cs="Arial"/>
                <w:iCs/>
                <w:color w:val="auto"/>
                <w:lang w:eastAsia="ar-SA"/>
              </w:rPr>
              <w:t>że infrastruktura będzie udostępniana innym podmiotom na równych niedyskryminujących zasadach (jeżeli przewiduje się taką sytuację);</w:t>
            </w:r>
          </w:p>
          <w:p w14:paraId="45A96AE7" w14:textId="77777777" w:rsidR="00AD4374" w:rsidRDefault="00AD4374" w:rsidP="00AD4374">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 xml:space="preserve">pkt I.1.2 jest automatycznie wypełniony (TAK dla wszystkich przesłanek) – nie dotyczy sytuacji gdy dofinansowanie stanowi częściowo pomoc publiczną (wówczas uzasadnienie braku pomocy jest dla części nieobjętej pomocą). </w:t>
            </w:r>
          </w:p>
          <w:p w14:paraId="0F77090C" w14:textId="5D8CEDFA" w:rsidR="00AD4374" w:rsidRDefault="00AD4374" w:rsidP="00AD4374">
            <w:pPr>
              <w:pStyle w:val="Default"/>
              <w:numPr>
                <w:ilvl w:val="0"/>
                <w:numId w:val="65"/>
              </w:numPr>
              <w:spacing w:after="120" w:line="276" w:lineRule="auto"/>
              <w:rPr>
                <w:rFonts w:ascii="Arial" w:eastAsia="Times New Roman" w:hAnsi="Arial" w:cs="Arial"/>
                <w:iCs/>
                <w:color w:val="auto"/>
                <w:lang w:eastAsia="ar-SA"/>
              </w:rPr>
            </w:pPr>
            <w:r>
              <w:rPr>
                <w:rFonts w:ascii="Arial" w:eastAsia="Times New Roman" w:hAnsi="Arial" w:cs="Arial"/>
                <w:iCs/>
                <w:color w:val="auto"/>
                <w:lang w:eastAsia="ar-SA"/>
              </w:rPr>
              <w:t>w pkt I.2.3B wybrać właściwy rodzaj pomocy oraz przedstawić Formularz informacji przedstawianych przy ubieganiu się o pomoc (wypełniony przez operatora).</w:t>
            </w:r>
          </w:p>
          <w:p w14:paraId="3016AEAB" w14:textId="2F08F387" w:rsidR="00C52B39" w:rsidRPr="00C52B39" w:rsidRDefault="00AD4374" w:rsidP="00C52B39">
            <w:pPr>
              <w:pStyle w:val="Default"/>
              <w:numPr>
                <w:ilvl w:val="0"/>
                <w:numId w:val="65"/>
              </w:numPr>
              <w:spacing w:after="120" w:line="276" w:lineRule="auto"/>
              <w:rPr>
                <w:rFonts w:ascii="Arial" w:eastAsia="Times New Roman" w:hAnsi="Arial" w:cs="Arial"/>
                <w:iCs/>
                <w:color w:val="auto"/>
                <w:lang w:eastAsia="ar-SA"/>
              </w:rPr>
            </w:pPr>
            <w:r w:rsidRPr="006926A6">
              <w:rPr>
                <w:rFonts w:ascii="Arial" w:eastAsia="Times New Roman" w:hAnsi="Arial" w:cs="Arial"/>
                <w:iCs/>
                <w:color w:val="auto"/>
                <w:lang w:eastAsia="ar-SA"/>
              </w:rPr>
              <w:t>w pkt I.6.13 przedstawić informacje wymagane zapisami Instrukcji wypełniania wniosku w systemie IGA (patrz str. 74-75) oraz przedstawić dokumenty</w:t>
            </w:r>
            <w:r>
              <w:t xml:space="preserve"> </w:t>
            </w:r>
            <w:r>
              <w:rPr>
                <w:rFonts w:ascii="Arial" w:eastAsia="Times New Roman" w:hAnsi="Arial" w:cs="Arial"/>
                <w:iCs/>
                <w:color w:val="auto"/>
                <w:lang w:eastAsia="ar-SA"/>
              </w:rPr>
              <w:t xml:space="preserve">regulujące </w:t>
            </w:r>
            <w:r w:rsidRPr="006926A6">
              <w:rPr>
                <w:rFonts w:ascii="Arial" w:eastAsia="Times New Roman" w:hAnsi="Arial" w:cs="Arial"/>
                <w:iCs/>
                <w:color w:val="auto"/>
                <w:lang w:eastAsia="ar-SA"/>
              </w:rPr>
              <w:t>kwestię powierzenia świadczenia UOIG</w:t>
            </w:r>
            <w:r w:rsidR="00C52B39">
              <w:rPr>
                <w:rFonts w:ascii="Arial" w:eastAsia="Times New Roman" w:hAnsi="Arial" w:cs="Arial"/>
                <w:iCs/>
                <w:color w:val="auto"/>
                <w:lang w:eastAsia="ar-SA"/>
              </w:rPr>
              <w:t xml:space="preserve">. Dodatkowo </w:t>
            </w:r>
            <w:r w:rsidR="00C52B39" w:rsidRPr="00C52B39">
              <w:rPr>
                <w:rFonts w:ascii="Arial" w:eastAsia="Times New Roman" w:hAnsi="Arial" w:cs="Arial"/>
                <w:iCs/>
                <w:lang w:eastAsia="ar-SA"/>
              </w:rPr>
              <w:t xml:space="preserve">onieczne jest przedstawienie informacji ze strony organizatora w zakresie potwierdzającym, że dofinansowanie nie spowoduje nadmierności rekompensaty. </w:t>
            </w:r>
          </w:p>
          <w:p w14:paraId="7EF2DEAA" w14:textId="77777777" w:rsidR="00C52B39" w:rsidRDefault="00C52B39" w:rsidP="00C52B39">
            <w:pPr>
              <w:pStyle w:val="Default"/>
              <w:spacing w:after="120" w:line="276" w:lineRule="auto"/>
              <w:ind w:left="1440"/>
              <w:rPr>
                <w:rFonts w:ascii="Arial" w:eastAsia="Times New Roman" w:hAnsi="Arial" w:cs="Arial"/>
                <w:iCs/>
                <w:color w:val="auto"/>
                <w:lang w:eastAsia="ar-SA"/>
              </w:rPr>
            </w:pPr>
            <w:r>
              <w:rPr>
                <w:rFonts w:ascii="Arial" w:eastAsia="Times New Roman" w:hAnsi="Arial" w:cs="Arial"/>
                <w:iCs/>
                <w:color w:val="auto"/>
                <w:lang w:eastAsia="ar-SA"/>
              </w:rPr>
              <w:t xml:space="preserve">W sytuacji, w której powierzenie jest na okres krótszy niż okres ekonomicznej użyteczności infrastruktury </w:t>
            </w:r>
            <w:r w:rsidRPr="00AD4374">
              <w:rPr>
                <w:rFonts w:ascii="Arial" w:eastAsia="Times New Roman" w:hAnsi="Arial" w:cs="Arial"/>
                <w:iCs/>
                <w:color w:val="auto"/>
                <w:lang w:eastAsia="ar-SA"/>
              </w:rPr>
              <w:t>konieczne jest przedstawienie informacji</w:t>
            </w:r>
            <w:r>
              <w:rPr>
                <w:rFonts w:ascii="Arial" w:eastAsia="Times New Roman" w:hAnsi="Arial" w:cs="Arial"/>
                <w:iCs/>
                <w:color w:val="auto"/>
                <w:lang w:eastAsia="ar-SA"/>
              </w:rPr>
              <w:t xml:space="preserve"> potwierdzających </w:t>
            </w:r>
            <w:r w:rsidRPr="00AD4374">
              <w:rPr>
                <w:rFonts w:ascii="Arial" w:eastAsia="Times New Roman" w:hAnsi="Arial" w:cs="Arial"/>
                <w:iCs/>
                <w:color w:val="auto"/>
                <w:lang w:eastAsia="ar-SA"/>
              </w:rPr>
              <w:t xml:space="preserve">umowa powierzenie </w:t>
            </w:r>
            <w:r w:rsidRPr="00AD4374">
              <w:rPr>
                <w:rFonts w:ascii="Arial" w:eastAsia="Times New Roman" w:hAnsi="Arial" w:cs="Arial"/>
                <w:iCs/>
                <w:color w:val="auto"/>
                <w:lang w:eastAsia="ar-SA"/>
              </w:rPr>
              <w:lastRenderedPageBreak/>
              <w:t>przewiduje rozliczenie rekompensaty odpowiadającej niezamortyzowanej wartości zakupionej/wybudowanej w ramach projektu infrastruktury. Rozliczenie obejmować może przewidywać w szczególności zwrot środków, przekazanie infrastruktury kolejnemu operatorowi lub organizatorowi</w:t>
            </w:r>
            <w:r>
              <w:rPr>
                <w:rFonts w:ascii="Arial" w:eastAsia="Times New Roman" w:hAnsi="Arial" w:cs="Arial"/>
                <w:iCs/>
                <w:color w:val="auto"/>
                <w:lang w:eastAsia="ar-SA"/>
              </w:rPr>
              <w:t xml:space="preserve"> (pomniejszonej o wszelką otrzymaną pomoc)</w:t>
            </w:r>
            <w:r w:rsidRPr="00AD4374">
              <w:rPr>
                <w:rFonts w:ascii="Arial" w:eastAsia="Times New Roman" w:hAnsi="Arial" w:cs="Arial"/>
                <w:iCs/>
                <w:color w:val="auto"/>
                <w:lang w:eastAsia="ar-SA"/>
              </w:rPr>
              <w:t>.</w:t>
            </w:r>
          </w:p>
          <w:p w14:paraId="4B095B3C" w14:textId="7CF9A537" w:rsidR="00D00985" w:rsidRPr="009D44F8" w:rsidRDefault="00D00985" w:rsidP="00CF1BE3">
            <w:pPr>
              <w:pStyle w:val="Default"/>
              <w:numPr>
                <w:ilvl w:val="0"/>
                <w:numId w:val="52"/>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parkingów typu Park&amp;Ride należy zweryfikować możliwość wystąpienia pomocy publicznej w zależności od przyjętego modelu parkingu oraz przedstawić informacje wskazujące czy parking będzie udostępniany bezpłatnie (jeśli nie to jakie będą opłaty), kto będzie operatorem powstałego parkingu, wskazania czy parking będzie dedykowany tylko jednemu przewoźnikowi publicznemu. </w:t>
            </w:r>
          </w:p>
          <w:p w14:paraId="40FDE117" w14:textId="77777777" w:rsidR="00D00985" w:rsidRPr="009D44F8" w:rsidRDefault="00D00985" w:rsidP="00D00985">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Należy zwrócić uwagę, że Komisja Europejska w sprawie Multimodalne platformy połączone z lotniskiem Ronchi dei Leionari (Decyzja KE z dnia 24.05.2011 r. w sprawie SA.31492 (N 375/2010) uznała, że istnieje rynek dla funkcjonowania parkingów typu Park&amp;Ride a rynek jest otwarty na konkurencję ze strony operatorów w całej UE. Warto odnotować, że w przypadku infrastruktury Komisja nie tylko bada występowanie konkurencji pomiędzy usługami świadczonymi za pomocą tego samego typu infrastruktury, ale także czy usługi świadczone przy wykorzystaniu danej infrastruktury są w konkurencji z innymi usługami o podobnym charakterze z świadczonymi  w oparciu o inne rodzaje infrastruktury. Na podstawie doświadczeń z realizacji projektów w ramach RPO WM na lata 2014-2020 przyjęte zostały następujące założenia: </w:t>
            </w:r>
          </w:p>
          <w:p w14:paraId="66B11674" w14:textId="77777777" w:rsidR="00D00985" w:rsidRPr="009D44F8" w:rsidRDefault="00D00985" w:rsidP="00D00985">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Dofinansowanie parkingów typu Park&amp;Ride ze środków FEM na lata 2021-2027 nie będzie stanowiło pomocy publicznej w przypadku gdy parking będzie:</w:t>
            </w:r>
          </w:p>
          <w:p w14:paraId="32B75DF2" w14:textId="36AA7954" w:rsidR="00D00985" w:rsidRPr="009D44F8" w:rsidRDefault="00C52B39" w:rsidP="00CF1BE3">
            <w:pPr>
              <w:pStyle w:val="Default"/>
              <w:numPr>
                <w:ilvl w:val="0"/>
                <w:numId w:val="54"/>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B</w:t>
            </w:r>
            <w:r w:rsidR="00D00985" w:rsidRPr="009D44F8">
              <w:rPr>
                <w:rFonts w:ascii="Arial" w:eastAsia="Times New Roman" w:hAnsi="Arial" w:cs="Arial"/>
                <w:iCs/>
                <w:color w:val="auto"/>
                <w:lang w:eastAsia="ar-SA"/>
              </w:rPr>
              <w:t>ezpłatny</w:t>
            </w:r>
            <w:r>
              <w:rPr>
                <w:rFonts w:ascii="Arial" w:eastAsia="Times New Roman" w:hAnsi="Arial" w:cs="Arial"/>
                <w:iCs/>
                <w:color w:val="auto"/>
                <w:lang w:eastAsia="ar-SA"/>
              </w:rPr>
              <w:t xml:space="preserve"> lub gdy opłata będzie dotyczyła osoby korzystające jednorazowo z parkingu, a opłat będzie umożliwiała skorzystanie z transportu publicznego</w:t>
            </w:r>
            <w:r w:rsidR="00D00985" w:rsidRPr="009D44F8">
              <w:rPr>
                <w:rFonts w:ascii="Arial" w:eastAsia="Times New Roman" w:hAnsi="Arial" w:cs="Arial"/>
                <w:iCs/>
                <w:color w:val="auto"/>
                <w:lang w:eastAsia="ar-SA"/>
              </w:rPr>
              <w:t>;</w:t>
            </w:r>
          </w:p>
          <w:p w14:paraId="6D7C5998" w14:textId="0411A2EC" w:rsidR="00C52B39" w:rsidRDefault="00C52B39" w:rsidP="00CF1BE3">
            <w:pPr>
              <w:pStyle w:val="Default"/>
              <w:numPr>
                <w:ilvl w:val="0"/>
                <w:numId w:val="54"/>
              </w:numPr>
              <w:spacing w:after="120" w:line="276" w:lineRule="auto"/>
              <w:ind w:left="1163"/>
              <w:rPr>
                <w:rFonts w:ascii="Arial" w:eastAsia="Times New Roman" w:hAnsi="Arial" w:cs="Arial"/>
                <w:iCs/>
                <w:color w:val="auto"/>
                <w:lang w:eastAsia="ar-SA"/>
              </w:rPr>
            </w:pPr>
            <w:r>
              <w:rPr>
                <w:rFonts w:ascii="Arial" w:eastAsia="Times New Roman" w:hAnsi="Arial" w:cs="Arial"/>
                <w:iCs/>
                <w:color w:val="auto"/>
                <w:lang w:eastAsia="ar-SA"/>
              </w:rPr>
              <w:t xml:space="preserve">Posiadał ograniczenie czasowe wykorzystania np. do końca doby parkingowego;  </w:t>
            </w:r>
          </w:p>
          <w:p w14:paraId="3F9BE5C8" w14:textId="514209BC" w:rsidR="00D00985" w:rsidRPr="009D44F8" w:rsidRDefault="00D00985" w:rsidP="00CF1BE3">
            <w:pPr>
              <w:pStyle w:val="Default"/>
              <w:numPr>
                <w:ilvl w:val="0"/>
                <w:numId w:val="54"/>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dostępny tylko dla osób posiadających bilet komunikacji zbiorowej  pod warunkiem, że możliwość skorzystania z parkingu nie będzie ograniczona do biletów zamkniętego kręgu przewoźników (każdy bilet komunikacji zbiorowej będzie umożliwiał parkowanie).</w:t>
            </w:r>
          </w:p>
          <w:p w14:paraId="5ACAED77" w14:textId="5995D270" w:rsidR="00D00985" w:rsidRPr="009D44F8" w:rsidRDefault="00D00985" w:rsidP="00D00985">
            <w:pPr>
              <w:pStyle w:val="Default"/>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W przypadku gdy powstała infrastruktura nie będzie spełniać ww. warunków wskazanych, w tym</w:t>
            </w:r>
            <w:r w:rsidR="00C52B39">
              <w:rPr>
                <w:rFonts w:ascii="Arial" w:eastAsia="Times New Roman" w:hAnsi="Arial" w:cs="Arial"/>
                <w:iCs/>
                <w:color w:val="auto"/>
                <w:lang w:eastAsia="ar-SA"/>
              </w:rPr>
              <w:t xml:space="preserve"> w szczególności</w:t>
            </w:r>
            <w:r w:rsidRPr="009D44F8">
              <w:rPr>
                <w:rFonts w:ascii="Arial" w:eastAsia="Times New Roman" w:hAnsi="Arial" w:cs="Arial"/>
                <w:iCs/>
                <w:color w:val="auto"/>
                <w:lang w:eastAsia="ar-SA"/>
              </w:rPr>
              <w:t xml:space="preserve"> będzie dedykowana konkretnemu przewoźnikowi lub będzie udostępniana innym użytkownikom na zasadach odpłatnych (płatny parking</w:t>
            </w:r>
            <w:r w:rsidR="006F2DBA">
              <w:rPr>
                <w:rFonts w:ascii="Arial" w:eastAsia="Times New Roman" w:hAnsi="Arial" w:cs="Arial"/>
                <w:iCs/>
                <w:color w:val="auto"/>
                <w:lang w:eastAsia="ar-SA"/>
              </w:rPr>
              <w:t xml:space="preserve"> dla wszystkich korzystających niezelżenie od tego czy korzystają z komunikacji </w:t>
            </w:r>
            <w:r w:rsidR="006F2DBA">
              <w:rPr>
                <w:rFonts w:ascii="Arial" w:eastAsia="Times New Roman" w:hAnsi="Arial" w:cs="Arial"/>
                <w:iCs/>
                <w:color w:val="auto"/>
                <w:lang w:eastAsia="ar-SA"/>
              </w:rPr>
              <w:lastRenderedPageBreak/>
              <w:t>publicznej</w:t>
            </w:r>
            <w:r w:rsidRPr="009D44F8">
              <w:rPr>
                <w:rFonts w:ascii="Arial" w:eastAsia="Times New Roman" w:hAnsi="Arial" w:cs="Arial"/>
                <w:iCs/>
                <w:color w:val="auto"/>
                <w:lang w:eastAsia="ar-SA"/>
              </w:rPr>
              <w:t xml:space="preserve">) wówczas konieczna jest indywidualna i szczegółowa weryfikacja spełnienia przesłanek wystąpienia pomocy publicznej określonych w art. 107 Traktatu </w:t>
            </w:r>
            <w:r w:rsidR="006F2DBA">
              <w:rPr>
                <w:rFonts w:ascii="Arial" w:eastAsia="Times New Roman" w:hAnsi="Arial" w:cs="Arial"/>
                <w:iCs/>
                <w:color w:val="auto"/>
                <w:lang w:eastAsia="ar-SA"/>
              </w:rPr>
              <w:t xml:space="preserve"> </w:t>
            </w:r>
            <w:r w:rsidRPr="009D44F8">
              <w:rPr>
                <w:rFonts w:ascii="Arial" w:eastAsia="Times New Roman" w:hAnsi="Arial" w:cs="Arial"/>
                <w:iCs/>
                <w:color w:val="auto"/>
                <w:lang w:eastAsia="ar-SA"/>
              </w:rPr>
              <w:t xml:space="preserve">o funkcjonowaniu Unii Europejskiej. </w:t>
            </w:r>
          </w:p>
          <w:p w14:paraId="3604D6D5" w14:textId="77777777" w:rsidR="00D00985" w:rsidRPr="009D44F8" w:rsidRDefault="00D00985" w:rsidP="00D00985">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W przypadku jeśli z analizy projektu wynikać będzie, iż dofinansowanie projektu będzie stanowić pomoc publiczną, będzie ono mogło zostać przyznane w oparciu o pomoc publiczną:</w:t>
            </w:r>
          </w:p>
          <w:p w14:paraId="2F713A08" w14:textId="5873D04C" w:rsidR="00D00985" w:rsidRDefault="00D00985" w:rsidP="006F2DBA">
            <w:pPr>
              <w:pStyle w:val="Default"/>
              <w:numPr>
                <w:ilvl w:val="0"/>
                <w:numId w:val="55"/>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ramach usług w ogólnym interesie gospodarczym -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t>
            </w:r>
            <w:r>
              <w:rPr>
                <w:rFonts w:ascii="Arial" w:eastAsia="Times New Roman" w:hAnsi="Arial" w:cs="Arial"/>
                <w:iCs/>
                <w:color w:val="auto"/>
                <w:lang w:eastAsia="ar-SA"/>
              </w:rPr>
              <w:br/>
            </w:r>
            <w:r w:rsidRPr="009D44F8">
              <w:rPr>
                <w:rFonts w:ascii="Arial" w:eastAsia="Times New Roman" w:hAnsi="Arial" w:cs="Arial"/>
                <w:iCs/>
                <w:color w:val="auto"/>
                <w:lang w:eastAsia="ar-SA"/>
              </w:rPr>
              <w:t>w ogólnym interesie gospodarczym. W takim przypadku</w:t>
            </w:r>
            <w:r w:rsidRPr="009D44F8">
              <w:rPr>
                <w:color w:val="auto"/>
              </w:rPr>
              <w:t xml:space="preserve"> </w:t>
            </w:r>
            <w:r w:rsidRPr="009D44F8">
              <w:rPr>
                <w:rFonts w:ascii="Arial" w:eastAsia="Times New Roman" w:hAnsi="Arial" w:cs="Arial"/>
                <w:iCs/>
                <w:color w:val="auto"/>
                <w:lang w:eastAsia="ar-SA"/>
              </w:rPr>
              <w:t xml:space="preserve">należy przedstawić w pkt I.6.11 informacje </w:t>
            </w:r>
            <w:r w:rsidR="006F2DBA">
              <w:rPr>
                <w:rFonts w:ascii="Arial" w:eastAsia="Times New Roman" w:hAnsi="Arial" w:cs="Arial"/>
                <w:iCs/>
                <w:color w:val="auto"/>
                <w:lang w:eastAsia="ar-SA"/>
              </w:rPr>
              <w:t>(patrz Instrukcja wypełniania wniosku w systemie IGA str. 73-74)</w:t>
            </w:r>
          </w:p>
          <w:p w14:paraId="48CB37BE" w14:textId="392DDA69" w:rsidR="006F2DBA" w:rsidRPr="009D44F8" w:rsidRDefault="006F2DBA" w:rsidP="006F2DBA">
            <w:pPr>
              <w:pStyle w:val="Default"/>
              <w:spacing w:after="120" w:line="276" w:lineRule="auto"/>
              <w:ind w:left="720"/>
              <w:rPr>
                <w:rFonts w:ascii="Arial" w:eastAsia="Times New Roman" w:hAnsi="Arial" w:cs="Arial"/>
                <w:iCs/>
                <w:color w:val="auto"/>
                <w:lang w:eastAsia="ar-SA"/>
              </w:rPr>
            </w:pPr>
            <w:r>
              <w:rPr>
                <w:rFonts w:ascii="Arial" w:eastAsia="Times New Roman" w:hAnsi="Arial" w:cs="Arial"/>
                <w:iCs/>
                <w:color w:val="auto"/>
                <w:lang w:eastAsia="ar-SA"/>
              </w:rPr>
              <w:t xml:space="preserve">Analogicznie jak w przypadku transportu zakres wypełnienia uzależniony będzie od tego czy o dofinansowanie ubiegać będzie się operator czy też organizator. Na podstawie zapisów określających scenariusze dla transportu należy również wypełnić wniosek w przypadku ubiegania się o pomoc na podstawie Decyzji na świadczenie usług w zakresie prowadzenia parkingu typu Park&amp;Ride. </w:t>
            </w:r>
          </w:p>
          <w:p w14:paraId="25CC025A" w14:textId="77777777" w:rsidR="00D00985" w:rsidRPr="009D44F8" w:rsidRDefault="00D00985" w:rsidP="00CF1BE3">
            <w:pPr>
              <w:pStyle w:val="Default"/>
              <w:numPr>
                <w:ilvl w:val="0"/>
                <w:numId w:val="55"/>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w oparciu o Rozporządzenie Ministra Funduszy i Polityki Regionalnej z dnia 11 grudnia 2022 r. w sprawie udzielania pomocy inwestycyjnej na infrastrukturę lokalną w ramach regionalnych programów na lata 2021-2027</w:t>
            </w:r>
          </w:p>
          <w:p w14:paraId="3D3A568C" w14:textId="77777777" w:rsidR="00BD1C3F" w:rsidRDefault="00D00985" w:rsidP="006F2DBA">
            <w:pPr>
              <w:pStyle w:val="Default"/>
              <w:numPr>
                <w:ilvl w:val="0"/>
                <w:numId w:val="52"/>
              </w:numPr>
              <w:spacing w:after="120" w:line="276" w:lineRule="auto"/>
              <w:rPr>
                <w:rFonts w:ascii="Arial" w:eastAsia="Times New Roman" w:hAnsi="Arial" w:cs="Arial"/>
                <w:iCs/>
                <w:color w:val="auto"/>
                <w:lang w:eastAsia="ar-SA"/>
              </w:rPr>
            </w:pPr>
            <w:r w:rsidRPr="006F2DBA">
              <w:rPr>
                <w:rFonts w:ascii="Arial" w:eastAsia="Times New Roman" w:hAnsi="Arial" w:cs="Arial"/>
                <w:iCs/>
                <w:color w:val="auto"/>
                <w:lang w:eastAsia="ar-SA"/>
              </w:rPr>
              <w:t>W przypadku projektów związanych z budową zaplecza autobusowego</w:t>
            </w:r>
            <w:r w:rsidR="00473E1B" w:rsidRPr="006F2DBA">
              <w:rPr>
                <w:rFonts w:ascii="Arial" w:eastAsia="Times New Roman" w:hAnsi="Arial" w:cs="Arial"/>
                <w:iCs/>
                <w:color w:val="auto"/>
                <w:lang w:eastAsia="ar-SA"/>
              </w:rPr>
              <w:t xml:space="preserve"> </w:t>
            </w:r>
            <w:r w:rsidR="006F2DBA" w:rsidRPr="006F2DBA">
              <w:rPr>
                <w:rFonts w:ascii="Arial" w:eastAsia="Times New Roman" w:hAnsi="Arial" w:cs="Arial"/>
                <w:iCs/>
                <w:color w:val="auto"/>
                <w:lang w:eastAsia="ar-SA"/>
              </w:rPr>
              <w:t xml:space="preserve">należy mieć na uwadze, że dofinansowanie może zostać przyznane na zaplecze wykorzystywane wyłącznie do świadczenia usług publicznego transportu zbiorowego. Warunki w zakresie pomocy publicznej oraz zakresu informacji są analogiczne jak dla zakupu taboru.  </w:t>
            </w:r>
          </w:p>
          <w:p w14:paraId="7EE7306B" w14:textId="7E091367" w:rsidR="004608CD" w:rsidRDefault="006F2DBA" w:rsidP="00BD1C3F">
            <w:pPr>
              <w:pStyle w:val="Default"/>
              <w:spacing w:after="120" w:line="276" w:lineRule="auto"/>
              <w:ind w:left="644"/>
              <w:rPr>
                <w:rFonts w:ascii="Arial" w:eastAsia="Times New Roman" w:hAnsi="Arial" w:cs="Arial"/>
                <w:iCs/>
                <w:color w:val="auto"/>
                <w:lang w:eastAsia="ar-SA"/>
              </w:rPr>
            </w:pPr>
            <w:r w:rsidRPr="006F2DBA">
              <w:rPr>
                <w:rFonts w:ascii="Arial" w:eastAsia="Times New Roman" w:hAnsi="Arial" w:cs="Arial"/>
                <w:iCs/>
                <w:color w:val="auto"/>
                <w:lang w:eastAsia="ar-SA"/>
              </w:rPr>
              <w:t xml:space="preserve">Dodatkowo w przypadku ubiegania się o dofinansowania przez operatora należy </w:t>
            </w:r>
            <w:r>
              <w:rPr>
                <w:rFonts w:ascii="Arial" w:eastAsia="Times New Roman" w:hAnsi="Arial" w:cs="Arial"/>
                <w:iCs/>
                <w:color w:val="auto"/>
                <w:lang w:eastAsia="ar-SA"/>
              </w:rPr>
              <w:t>potwierdzić, że:</w:t>
            </w:r>
          </w:p>
          <w:p w14:paraId="0BBAA164" w14:textId="2C990177" w:rsidR="006F2DBA" w:rsidRDefault="006F2DBA" w:rsidP="006F2DBA">
            <w:pPr>
              <w:pStyle w:val="Default"/>
              <w:numPr>
                <w:ilvl w:val="0"/>
                <w:numId w:val="67"/>
              </w:numPr>
              <w:spacing w:after="120" w:line="276" w:lineRule="auto"/>
              <w:ind w:left="1016"/>
              <w:rPr>
                <w:rFonts w:ascii="Arial" w:eastAsia="Times New Roman" w:hAnsi="Arial" w:cs="Arial"/>
                <w:iCs/>
                <w:color w:val="auto"/>
                <w:lang w:eastAsia="ar-SA"/>
              </w:rPr>
            </w:pPr>
            <w:r w:rsidRPr="006F2DBA">
              <w:rPr>
                <w:rFonts w:ascii="Arial" w:eastAsia="Times New Roman" w:hAnsi="Arial" w:cs="Arial"/>
                <w:iCs/>
                <w:color w:val="auto"/>
                <w:lang w:eastAsia="ar-SA"/>
              </w:rPr>
              <w:t>dany obiekt musi będzie wykorzystywany wyłącznie do celów świadczenia usług publicznych objętych rozporządzeniem 1370/2007</w:t>
            </w:r>
            <w:r>
              <w:rPr>
                <w:rFonts w:ascii="Arial" w:eastAsia="Times New Roman" w:hAnsi="Arial" w:cs="Arial"/>
                <w:iCs/>
                <w:color w:val="auto"/>
                <w:lang w:eastAsia="ar-SA"/>
              </w:rPr>
              <w:t>;</w:t>
            </w:r>
          </w:p>
          <w:p w14:paraId="189B743E" w14:textId="77777777" w:rsidR="006F2DBA" w:rsidRDefault="006F2DBA" w:rsidP="006F2DBA">
            <w:pPr>
              <w:pStyle w:val="Default"/>
              <w:numPr>
                <w:ilvl w:val="0"/>
                <w:numId w:val="67"/>
              </w:numPr>
              <w:spacing w:after="120" w:line="276" w:lineRule="auto"/>
              <w:ind w:left="1016"/>
              <w:rPr>
                <w:rFonts w:ascii="Arial" w:eastAsia="Times New Roman" w:hAnsi="Arial" w:cs="Arial"/>
                <w:iCs/>
                <w:color w:val="auto"/>
                <w:lang w:eastAsia="ar-SA"/>
              </w:rPr>
            </w:pPr>
            <w:r w:rsidRPr="006F2DBA">
              <w:rPr>
                <w:rFonts w:ascii="Arial" w:eastAsia="Times New Roman" w:hAnsi="Arial" w:cs="Arial"/>
                <w:iCs/>
                <w:color w:val="auto"/>
                <w:lang w:eastAsia="ar-SA"/>
              </w:rPr>
              <w:t>zasady określania wysokości rekompensaty z tytułu świadczenia usług publicznych muszą zapewniać, że operator nie będzie czerpał żadnych bezpośrednich ani pośrednich korzyści z funduszy otrzymanych na budowę danego obiektu. W razie potrzeby należy dostosować wysokość  rekompensaty, aby uniknąć nadmiernej rekompensaty;</w:t>
            </w:r>
          </w:p>
          <w:p w14:paraId="48481680" w14:textId="77777777" w:rsidR="00BD1C3F" w:rsidRDefault="006F2DBA" w:rsidP="00BD1C3F">
            <w:pPr>
              <w:pStyle w:val="Default"/>
              <w:numPr>
                <w:ilvl w:val="0"/>
                <w:numId w:val="67"/>
              </w:numPr>
              <w:spacing w:after="120" w:line="276" w:lineRule="auto"/>
              <w:ind w:left="1016"/>
              <w:rPr>
                <w:rFonts w:ascii="Arial" w:eastAsia="Times New Roman" w:hAnsi="Arial" w:cs="Arial"/>
                <w:iCs/>
                <w:color w:val="auto"/>
                <w:lang w:eastAsia="ar-SA"/>
              </w:rPr>
            </w:pPr>
            <w:r w:rsidRPr="006F2DBA">
              <w:rPr>
                <w:rFonts w:ascii="Arial" w:eastAsia="Times New Roman" w:hAnsi="Arial" w:cs="Arial"/>
                <w:iCs/>
                <w:color w:val="auto"/>
                <w:lang w:eastAsia="ar-SA"/>
              </w:rPr>
              <w:lastRenderedPageBreak/>
              <w:t>na koniec umowy dany obiekt należy przekazać następnemu dostawcy usług publicznych według wartości</w:t>
            </w:r>
          </w:p>
          <w:p w14:paraId="7C53CAC2" w14:textId="1D790F2E" w:rsidR="006F2DBA" w:rsidRPr="00BD1C3F" w:rsidRDefault="006F2DBA" w:rsidP="00BD1C3F">
            <w:pPr>
              <w:pStyle w:val="Default"/>
              <w:numPr>
                <w:ilvl w:val="0"/>
                <w:numId w:val="67"/>
              </w:numPr>
              <w:spacing w:after="120" w:line="276" w:lineRule="auto"/>
              <w:ind w:left="1016"/>
              <w:rPr>
                <w:rFonts w:ascii="Arial" w:eastAsia="Times New Roman" w:hAnsi="Arial" w:cs="Arial"/>
                <w:iCs/>
                <w:color w:val="auto"/>
                <w:lang w:eastAsia="ar-SA"/>
              </w:rPr>
            </w:pPr>
            <w:r w:rsidRPr="00BD1C3F">
              <w:rPr>
                <w:rFonts w:ascii="Arial" w:eastAsia="Times New Roman" w:hAnsi="Arial" w:cs="Arial"/>
                <w:iCs/>
                <w:color w:val="auto"/>
                <w:lang w:eastAsia="ar-SA"/>
              </w:rPr>
              <w:t>rynkowej, pomniejszonej o wszelką potencjalnie otrzymaną pomoc</w:t>
            </w:r>
          </w:p>
          <w:p w14:paraId="22806794" w14:textId="20356955" w:rsidR="00D00985" w:rsidRPr="009D44F8" w:rsidRDefault="00D00985" w:rsidP="004608CD">
            <w:pPr>
              <w:pStyle w:val="Default"/>
              <w:numPr>
                <w:ilvl w:val="0"/>
                <w:numId w:val="52"/>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stacji ładowania w ramach infrastruktury Park&amp;Ride – finansowanie infrastruktury wykorzystywanej do ładowania samochodów, co do zasady powinna być finansowana w oparciu o przepisy o pomocy publicznej lub/oraz pomocy de minimis. Jednocześnie IZ dopuszcza sytuację, w której w przypadku parkingów typu Park&amp;Ride udostępnianych  bezpłatnie dla osób posiadających bilet komunikacji zbiorowej  pod warunkiem, że możliwość skorzystania z parkingu nie będzie ograniczona do biletów zamkniętego kręgu przewoźników (każdy bilet komunikacji zbiorowej będzie umożliwiał parkowanie) dofinansowanie infrastruktury ładowania nie będzie stanowiło pomocy publicznej/pomocy de minimis pod warunkiem spełnienia warunków dla infrastruktury towarzyszącej określonych w pkt 207 Zawiadomienia KE w sprawie pojęcia pomocy państwa w rozumieniu art. 107 ust 1 TFUE. </w:t>
            </w:r>
            <w:r w:rsidR="00BD1C3F">
              <w:rPr>
                <w:rFonts w:ascii="Arial" w:eastAsia="Times New Roman" w:hAnsi="Arial" w:cs="Arial"/>
                <w:iCs/>
                <w:color w:val="auto"/>
                <w:lang w:eastAsia="ar-SA"/>
              </w:rPr>
              <w:t xml:space="preserve">W takim przypadku dopuszcza się uznanie za infrastrukturę towarzyszącą stacje ładowania spełniające minimalne wymogi dla tego typu infrastruktury określone w SzOP/ogłoszeniu o naborze (dotyczy to zarówno części kwalifikowanej, jak i niekwalifikowanej). </w:t>
            </w:r>
          </w:p>
        </w:tc>
      </w:tr>
      <w:tr w:rsidR="00D00985" w:rsidRPr="00396247" w14:paraId="7BFA20F3"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601D9708" w14:textId="77777777" w:rsidR="00D00985" w:rsidRDefault="00D00985" w:rsidP="00D00985">
            <w:pPr>
              <w:autoSpaceDE w:val="0"/>
              <w:autoSpaceDN w:val="0"/>
              <w:adjustRightInd w:val="0"/>
              <w:spacing w:after="120" w:line="276" w:lineRule="auto"/>
              <w:rPr>
                <w:rFonts w:ascii="Arial" w:eastAsia="Calibri" w:hAnsi="Arial" w:cs="Arial"/>
                <w:b/>
                <w:sz w:val="24"/>
              </w:rPr>
            </w:pPr>
            <w:r w:rsidRPr="004216D9">
              <w:rPr>
                <w:rFonts w:ascii="Arial" w:eastAsia="Calibri" w:hAnsi="Arial" w:cs="Arial"/>
                <w:b/>
                <w:sz w:val="24"/>
              </w:rPr>
              <w:lastRenderedPageBreak/>
              <w:t>Część U Informacje specyficzne</w:t>
            </w:r>
          </w:p>
          <w:p w14:paraId="6A37E891" w14:textId="77777777" w:rsidR="00D00985" w:rsidRPr="004216D9" w:rsidRDefault="00D00985" w:rsidP="00D00985">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7DE1FAA2" w14:textId="77777777" w:rsidR="00D00985" w:rsidRPr="004216D9" w:rsidRDefault="00D00985" w:rsidP="00D00985">
            <w:pPr>
              <w:autoSpaceDE w:val="0"/>
              <w:autoSpaceDN w:val="0"/>
              <w:adjustRightInd w:val="0"/>
              <w:spacing w:after="120" w:line="276" w:lineRule="auto"/>
              <w:rPr>
                <w:rFonts w:ascii="Arial" w:eastAsia="Calibri" w:hAnsi="Arial" w:cs="Arial"/>
                <w:sz w:val="24"/>
              </w:rPr>
            </w:pPr>
            <w:r w:rsidRPr="004216D9">
              <w:rPr>
                <w:rFonts w:ascii="Arial" w:eastAsia="Calibri" w:hAnsi="Arial" w:cs="Arial"/>
                <w:sz w:val="24"/>
              </w:rPr>
              <w:t>Należy wskazać czy, a jeśli tak to w jaki sposób projekt spełnia poniższe warunki:</w:t>
            </w:r>
          </w:p>
          <w:p w14:paraId="615911A2" w14:textId="77777777" w:rsidR="00D00985" w:rsidRPr="008E7295" w:rsidRDefault="00D00985" w:rsidP="00CF1BE3">
            <w:pPr>
              <w:pStyle w:val="Akapitzlist"/>
              <w:numPr>
                <w:ilvl w:val="0"/>
                <w:numId w:val="58"/>
              </w:numPr>
              <w:rPr>
                <w:rFonts w:ascii="Arial" w:eastAsia="Calibri" w:hAnsi="Arial" w:cs="Arial"/>
                <w:sz w:val="24"/>
              </w:rPr>
            </w:pPr>
            <w:r w:rsidRPr="008E7295">
              <w:rPr>
                <w:rFonts w:ascii="Arial" w:eastAsia="Calibri" w:hAnsi="Arial" w:cs="Arial"/>
                <w:b/>
                <w:sz w:val="24"/>
                <w:szCs w:val="24"/>
              </w:rPr>
              <w:t>przyczynia się do redukcji substancji szkodliwych na obszarze</w:t>
            </w:r>
            <w:r w:rsidRPr="008E7295">
              <w:rPr>
                <w:rFonts w:ascii="Arial" w:eastAsia="Calibri" w:hAnsi="Arial" w:cs="Arial"/>
                <w:sz w:val="24"/>
                <w:szCs w:val="24"/>
              </w:rPr>
              <w:t xml:space="preserve">, na którym </w:t>
            </w:r>
            <w:r w:rsidRPr="008E7295">
              <w:rPr>
                <w:rFonts w:ascii="Arial" w:eastAsia="Calibri" w:hAnsi="Arial" w:cs="Arial"/>
                <w:sz w:val="24"/>
              </w:rPr>
              <w:t>realizowana jest inwestycja takich jak:</w:t>
            </w:r>
          </w:p>
          <w:p w14:paraId="31066C90" w14:textId="77777777" w:rsidR="00D00985" w:rsidRPr="008E7295" w:rsidRDefault="00D00985" w:rsidP="00CF1BE3">
            <w:pPr>
              <w:pStyle w:val="Akapitzlist"/>
              <w:numPr>
                <w:ilvl w:val="0"/>
                <w:numId w:val="57"/>
              </w:numPr>
              <w:autoSpaceDE w:val="0"/>
              <w:autoSpaceDN w:val="0"/>
              <w:adjustRightInd w:val="0"/>
              <w:spacing w:after="120" w:line="276" w:lineRule="auto"/>
              <w:ind w:left="738"/>
              <w:rPr>
                <w:rFonts w:ascii="Arial" w:eastAsia="Calibri" w:hAnsi="Arial" w:cs="Arial"/>
                <w:sz w:val="24"/>
                <w:szCs w:val="24"/>
              </w:rPr>
            </w:pPr>
            <w:r w:rsidRPr="008E7295">
              <w:rPr>
                <w:rFonts w:ascii="Arial" w:eastAsia="Calibri" w:hAnsi="Arial" w:cs="Arial"/>
                <w:sz w:val="24"/>
              </w:rPr>
              <w:t>zanieczyszczenia gazowe i cząstki stałe: CO (tlenek węgla), HC (węglowodory),</w:t>
            </w:r>
            <w:r w:rsidRPr="008E7295">
              <w:rPr>
                <w:rFonts w:ascii="Arial" w:hAnsi="Arial" w:cs="Arial"/>
                <w:sz w:val="24"/>
                <w:szCs w:val="24"/>
              </w:rPr>
              <w:t xml:space="preserve"> Nox (tlenki azotu), PM (cząstki stałe) </w:t>
            </w:r>
          </w:p>
          <w:p w14:paraId="5E7F9BB0" w14:textId="77777777" w:rsidR="00D00985" w:rsidRPr="008E7295" w:rsidRDefault="00D00985" w:rsidP="00D00985">
            <w:pPr>
              <w:pStyle w:val="Akapitzlist"/>
              <w:autoSpaceDE w:val="0"/>
              <w:autoSpaceDN w:val="0"/>
              <w:adjustRightInd w:val="0"/>
              <w:spacing w:after="120" w:line="276" w:lineRule="auto"/>
              <w:ind w:left="454"/>
              <w:rPr>
                <w:rFonts w:ascii="Arial" w:eastAsia="Calibri" w:hAnsi="Arial" w:cs="Arial"/>
                <w:sz w:val="24"/>
                <w:szCs w:val="24"/>
              </w:rPr>
            </w:pPr>
            <w:r w:rsidRPr="008E7295">
              <w:rPr>
                <w:rFonts w:ascii="Arial" w:hAnsi="Arial" w:cs="Arial"/>
                <w:sz w:val="24"/>
                <w:szCs w:val="24"/>
              </w:rPr>
              <w:t>lub</w:t>
            </w:r>
          </w:p>
          <w:p w14:paraId="6084A4CC" w14:textId="77777777" w:rsidR="00D00985" w:rsidRPr="008E7295" w:rsidRDefault="00D00985" w:rsidP="00CF1BE3">
            <w:pPr>
              <w:pStyle w:val="Akapitzlist"/>
              <w:numPr>
                <w:ilvl w:val="0"/>
                <w:numId w:val="57"/>
              </w:numPr>
              <w:autoSpaceDE w:val="0"/>
              <w:autoSpaceDN w:val="0"/>
              <w:adjustRightInd w:val="0"/>
              <w:spacing w:after="120" w:line="276" w:lineRule="auto"/>
              <w:ind w:left="738"/>
              <w:rPr>
                <w:rFonts w:ascii="Arial" w:eastAsia="Calibri" w:hAnsi="Arial" w:cs="Arial"/>
                <w:sz w:val="24"/>
                <w:szCs w:val="24"/>
              </w:rPr>
            </w:pPr>
            <w:r w:rsidRPr="008E7295">
              <w:rPr>
                <w:rFonts w:ascii="Arial" w:hAnsi="Arial" w:cs="Arial"/>
                <w:sz w:val="24"/>
                <w:szCs w:val="24"/>
              </w:rPr>
              <w:t>gazy cieplarniane: CO</w:t>
            </w:r>
            <w:r w:rsidRPr="008E7295">
              <w:rPr>
                <w:rFonts w:ascii="Arial" w:hAnsi="Arial" w:cs="Arial"/>
                <w:sz w:val="24"/>
                <w:szCs w:val="24"/>
                <w:vertAlign w:val="subscript"/>
              </w:rPr>
              <w:t>2</w:t>
            </w:r>
            <w:r w:rsidRPr="008E7295">
              <w:rPr>
                <w:rFonts w:ascii="Arial" w:hAnsi="Arial" w:cs="Arial"/>
                <w:sz w:val="24"/>
                <w:szCs w:val="24"/>
              </w:rPr>
              <w:t xml:space="preserve"> (dwutlenek węgla). </w:t>
            </w:r>
          </w:p>
          <w:p w14:paraId="5BB31B98" w14:textId="77777777" w:rsidR="00D00985" w:rsidRPr="008E7295" w:rsidRDefault="00D00985" w:rsidP="00D00985">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Należy przedstawić sposób obliczania redukcji osobno dla każdej substancji. </w:t>
            </w:r>
          </w:p>
          <w:p w14:paraId="01368F3B" w14:textId="77777777" w:rsidR="00D00985" w:rsidRPr="008E7295" w:rsidRDefault="00D00985" w:rsidP="00D00985">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Dane związane redukcją gazów cieplarnianych przedstaw w przeliczeniu na tony ekwiwalentu CO</w:t>
            </w:r>
            <w:r w:rsidRPr="008E7295">
              <w:rPr>
                <w:rFonts w:ascii="Arial" w:eastAsia="Calibri" w:hAnsi="Arial" w:cs="Arial"/>
                <w:sz w:val="24"/>
                <w:szCs w:val="24"/>
                <w:vertAlign w:val="subscript"/>
              </w:rPr>
              <w:t>2</w:t>
            </w:r>
            <w:r w:rsidRPr="008E7295">
              <w:rPr>
                <w:rFonts w:ascii="Arial" w:eastAsia="Calibri" w:hAnsi="Arial" w:cs="Arial"/>
                <w:sz w:val="24"/>
                <w:szCs w:val="24"/>
              </w:rPr>
              <w:t>/rok.</w:t>
            </w:r>
          </w:p>
          <w:p w14:paraId="25218B53" w14:textId="77777777" w:rsidR="00D00985" w:rsidRPr="008E7295" w:rsidRDefault="00D00985" w:rsidP="00D00985">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W przypadku gdy projekt nie przyczynia się do redukcji emisji wskazanych powyżej substancji szkodliwych zostanie </w:t>
            </w:r>
            <w:r w:rsidRPr="008E7295">
              <w:rPr>
                <w:rFonts w:ascii="Arial" w:eastAsia="Calibri" w:hAnsi="Arial" w:cs="Arial"/>
                <w:b/>
                <w:sz w:val="24"/>
                <w:szCs w:val="24"/>
              </w:rPr>
              <w:t>oceniony negatywnie</w:t>
            </w:r>
            <w:r w:rsidRPr="008E7295">
              <w:rPr>
                <w:rFonts w:ascii="Arial" w:eastAsia="Calibri" w:hAnsi="Arial" w:cs="Arial"/>
                <w:sz w:val="24"/>
                <w:szCs w:val="24"/>
              </w:rPr>
              <w:t xml:space="preserve"> na etapie oceny merytorycznej.</w:t>
            </w:r>
          </w:p>
          <w:p w14:paraId="12EAAE2C" w14:textId="77777777" w:rsidR="00D00985" w:rsidRPr="008E7295" w:rsidRDefault="00D00985" w:rsidP="00CF1BE3">
            <w:pPr>
              <w:pStyle w:val="Akapitzlist"/>
              <w:numPr>
                <w:ilvl w:val="0"/>
                <w:numId w:val="58"/>
              </w:numPr>
              <w:rPr>
                <w:rFonts w:ascii="Arial" w:eastAsia="Calibri" w:hAnsi="Arial" w:cs="Arial"/>
                <w:sz w:val="24"/>
                <w:szCs w:val="24"/>
              </w:rPr>
            </w:pPr>
            <w:r w:rsidRPr="008E7295">
              <w:rPr>
                <w:rFonts w:ascii="Arial" w:eastAsia="Calibri" w:hAnsi="Arial" w:cs="Arial"/>
                <w:b/>
                <w:sz w:val="24"/>
                <w:szCs w:val="24"/>
              </w:rPr>
              <w:t>generuje efekty o szerokim zakresie</w:t>
            </w:r>
            <w:r w:rsidRPr="008E7295">
              <w:rPr>
                <w:rFonts w:ascii="Arial" w:eastAsia="Calibri" w:hAnsi="Arial" w:cs="Arial"/>
                <w:sz w:val="24"/>
                <w:szCs w:val="24"/>
              </w:rPr>
              <w:t>, takie jak:</w:t>
            </w:r>
          </w:p>
          <w:p w14:paraId="502883BF" w14:textId="77777777" w:rsidR="00D00985" w:rsidRPr="008E7295" w:rsidRDefault="00D00985" w:rsidP="00CF1BE3">
            <w:pPr>
              <w:pStyle w:val="Akapitzlist"/>
              <w:numPr>
                <w:ilvl w:val="1"/>
                <w:numId w:val="50"/>
              </w:numPr>
              <w:ind w:left="738"/>
              <w:rPr>
                <w:rFonts w:ascii="Arial" w:eastAsia="Calibri" w:hAnsi="Arial" w:cs="Arial"/>
                <w:sz w:val="24"/>
                <w:szCs w:val="24"/>
              </w:rPr>
            </w:pPr>
            <w:r w:rsidRPr="008E7295">
              <w:rPr>
                <w:rFonts w:ascii="Arial" w:eastAsia="Calibri" w:hAnsi="Arial" w:cs="Arial"/>
                <w:sz w:val="24"/>
                <w:szCs w:val="24"/>
              </w:rPr>
              <w:t>szersze wykorzystanie bardziej efektywnego transportu publicznego i/lub niezmotoryzowanego indywidualnego (adekwatnie do zakresu rzeczowego projektu),</w:t>
            </w:r>
          </w:p>
          <w:p w14:paraId="3D530998" w14:textId="77777777" w:rsidR="00D00985" w:rsidRPr="008E7295" w:rsidRDefault="00D00985" w:rsidP="00CF1BE3">
            <w:pPr>
              <w:pStyle w:val="Akapitzlist"/>
              <w:numPr>
                <w:ilvl w:val="1"/>
                <w:numId w:val="50"/>
              </w:numPr>
              <w:ind w:left="738"/>
              <w:rPr>
                <w:rFonts w:ascii="Arial" w:eastAsia="Calibri" w:hAnsi="Arial" w:cs="Arial"/>
                <w:sz w:val="24"/>
                <w:szCs w:val="24"/>
              </w:rPr>
            </w:pPr>
            <w:r w:rsidRPr="008E7295">
              <w:rPr>
                <w:rFonts w:ascii="Arial" w:eastAsia="Calibri" w:hAnsi="Arial" w:cs="Arial"/>
                <w:sz w:val="24"/>
                <w:szCs w:val="24"/>
              </w:rPr>
              <w:lastRenderedPageBreak/>
              <w:t>zmniejszenie wykorzystania samochodów,</w:t>
            </w:r>
          </w:p>
          <w:p w14:paraId="35A3EE3A" w14:textId="77777777" w:rsidR="00D00985" w:rsidRPr="008E7295" w:rsidRDefault="00D00985" w:rsidP="00CF1BE3">
            <w:pPr>
              <w:pStyle w:val="Akapitzlist"/>
              <w:numPr>
                <w:ilvl w:val="0"/>
                <w:numId w:val="57"/>
              </w:numPr>
              <w:autoSpaceDE w:val="0"/>
              <w:autoSpaceDN w:val="0"/>
              <w:adjustRightInd w:val="0"/>
              <w:spacing w:after="120" w:line="276" w:lineRule="auto"/>
              <w:ind w:left="738"/>
              <w:rPr>
                <w:rFonts w:ascii="Arial" w:hAnsi="Arial" w:cs="Arial"/>
                <w:sz w:val="24"/>
                <w:szCs w:val="24"/>
              </w:rPr>
            </w:pPr>
            <w:r w:rsidRPr="008E7295">
              <w:rPr>
                <w:rFonts w:ascii="Arial" w:hAnsi="Arial" w:cs="Arial"/>
                <w:sz w:val="24"/>
                <w:szCs w:val="24"/>
              </w:rPr>
              <w:t>polepszenie integracji gałęzi transportu.</w:t>
            </w:r>
          </w:p>
          <w:p w14:paraId="6CF6F106" w14:textId="77777777" w:rsidR="00D00985" w:rsidRPr="008E7295" w:rsidRDefault="00D00985" w:rsidP="00D00985">
            <w:pPr>
              <w:autoSpaceDE w:val="0"/>
              <w:autoSpaceDN w:val="0"/>
              <w:adjustRightInd w:val="0"/>
              <w:spacing w:after="120" w:line="276" w:lineRule="auto"/>
              <w:ind w:left="378"/>
              <w:rPr>
                <w:rFonts w:ascii="Arial" w:eastAsia="Calibri" w:hAnsi="Arial" w:cs="Arial"/>
                <w:sz w:val="24"/>
                <w:szCs w:val="24"/>
              </w:rPr>
            </w:pPr>
            <w:r w:rsidRPr="008E7295">
              <w:rPr>
                <w:rFonts w:ascii="Arial" w:hAnsi="Arial" w:cs="Arial"/>
                <w:sz w:val="24"/>
                <w:szCs w:val="24"/>
              </w:rPr>
              <w:t>We wskazanym</w:t>
            </w:r>
            <w:r w:rsidRPr="008E7295">
              <w:rPr>
                <w:rFonts w:ascii="Arial" w:eastAsia="Calibri" w:hAnsi="Arial" w:cs="Arial"/>
                <w:sz w:val="24"/>
                <w:szCs w:val="24"/>
              </w:rPr>
              <w:t xml:space="preserve"> powyżej zakresie należy również opisać otoczenie w jakim realizowany jest projekt, tj. zrealizowane i/lub realizowane inwestycje lub projekty i/lub działania zrealizowane i/lub podejmowane w zakresie transportu na obszarze jednostki/jednostek samorządu terytorialnego, której/których dotyczy oceniany projekt.</w:t>
            </w:r>
          </w:p>
          <w:p w14:paraId="588957BB" w14:textId="77777777" w:rsidR="00D00985" w:rsidRPr="00A36429" w:rsidRDefault="00D00985" w:rsidP="00CF1BE3">
            <w:pPr>
              <w:pStyle w:val="Akapitzlist"/>
              <w:numPr>
                <w:ilvl w:val="0"/>
                <w:numId w:val="58"/>
              </w:numPr>
              <w:rPr>
                <w:rFonts w:ascii="Arial" w:eastAsia="Calibri" w:hAnsi="Arial" w:cs="Arial"/>
                <w:sz w:val="24"/>
              </w:rPr>
            </w:pPr>
            <w:r w:rsidRPr="00A36429">
              <w:rPr>
                <w:rFonts w:ascii="Arial" w:eastAsia="Calibri" w:hAnsi="Arial" w:cs="Arial"/>
                <w:b/>
                <w:iCs/>
                <w:sz w:val="24"/>
              </w:rPr>
              <w:t xml:space="preserve">„mobilność jako usługa” w projekcie. </w:t>
            </w:r>
            <w:r w:rsidRPr="00A36429">
              <w:rPr>
                <w:rFonts w:ascii="Arial" w:eastAsia="Calibri" w:hAnsi="Arial" w:cs="Arial"/>
                <w:iCs/>
                <w:sz w:val="24"/>
                <w:lang w:val="x-none"/>
              </w:rPr>
              <w:t>Czy w projekcie uwzględniono</w:t>
            </w:r>
            <w:r w:rsidRPr="00A36429">
              <w:rPr>
                <w:rFonts w:ascii="Arial" w:eastAsia="Calibri" w:hAnsi="Arial" w:cs="Arial"/>
                <w:iCs/>
                <w:sz w:val="24"/>
              </w:rPr>
              <w:t xml:space="preserve"> rozwiązania </w:t>
            </w:r>
            <w:r w:rsidRPr="00A36429">
              <w:rPr>
                <w:rFonts w:ascii="Arial" w:eastAsia="Calibri" w:hAnsi="Arial" w:cs="Arial"/>
                <w:iCs/>
                <w:sz w:val="24"/>
                <w:lang w:val="pl"/>
              </w:rPr>
              <w:t xml:space="preserve">dotyczące wprowadzenia integracji usług transportowych, w tym integracji taryfowej i wdrożenia koncepcji „Mobilność jako usługa” </w:t>
            </w:r>
            <w:r w:rsidRPr="00A36429">
              <w:rPr>
                <w:rFonts w:ascii="Arial" w:eastAsia="Calibri" w:hAnsi="Arial" w:cs="Arial"/>
                <w:iCs/>
                <w:sz w:val="24"/>
              </w:rPr>
              <w:t>na obszarze objętym mechanizmem ZIT (ang. MaaS) – zgodnie z przewodnikiem pn. Mobilność jako usługa (MaaS) i zrównoważone planowanie mobilności miejskiej. Wskazany powyżej dokument stanowi załącznik do</w:t>
            </w:r>
            <w:r>
              <w:rPr>
                <w:rFonts w:ascii="Arial" w:eastAsia="Calibri" w:hAnsi="Arial" w:cs="Arial"/>
                <w:iCs/>
                <w:sz w:val="24"/>
              </w:rPr>
              <w:t xml:space="preserve"> ogłoszenia o naborze wniosków.</w:t>
            </w:r>
          </w:p>
          <w:p w14:paraId="27F79825" w14:textId="77777777" w:rsidR="00D00985" w:rsidRPr="009D44F8" w:rsidRDefault="00D00985" w:rsidP="00CF1BE3">
            <w:pPr>
              <w:pStyle w:val="Akapitzlist"/>
              <w:numPr>
                <w:ilvl w:val="0"/>
                <w:numId w:val="58"/>
              </w:numPr>
              <w:rPr>
                <w:rFonts w:ascii="Arial" w:eastAsia="Calibri" w:hAnsi="Arial" w:cs="Arial"/>
                <w:color w:val="FF0000"/>
                <w:sz w:val="24"/>
              </w:rPr>
            </w:pPr>
            <w:r w:rsidRPr="008E7295">
              <w:rPr>
                <w:rFonts w:ascii="Arial" w:eastAsia="Calibri" w:hAnsi="Arial" w:cs="Arial"/>
                <w:b/>
                <w:sz w:val="24"/>
              </w:rPr>
              <w:t>ma charakter międzyregionalny lub transnarodowy</w:t>
            </w:r>
            <w:r w:rsidRPr="008E7295">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p>
          <w:p w14:paraId="60949CE7" w14:textId="77777777" w:rsidR="00D00985" w:rsidRPr="009D44F8" w:rsidRDefault="00D00985" w:rsidP="00CF1BE3">
            <w:pPr>
              <w:pStyle w:val="Akapitzlist"/>
              <w:numPr>
                <w:ilvl w:val="0"/>
                <w:numId w:val="58"/>
              </w:numPr>
              <w:rPr>
                <w:rFonts w:ascii="Arial" w:eastAsia="Calibri" w:hAnsi="Arial" w:cs="Arial"/>
                <w:sz w:val="24"/>
              </w:rPr>
            </w:pPr>
            <w:r w:rsidRPr="009D44F8">
              <w:rPr>
                <w:rFonts w:ascii="Arial" w:eastAsia="Calibri" w:hAnsi="Arial" w:cs="Arial"/>
                <w:b/>
                <w:sz w:val="24"/>
              </w:rPr>
              <w:t>rozwiązania przyjazne środowisku i mieszkańcom</w:t>
            </w:r>
            <w:r w:rsidRPr="009D44F8">
              <w:rPr>
                <w:rFonts w:ascii="Arial" w:eastAsia="Calibri" w:hAnsi="Arial" w:cs="Arial"/>
                <w:sz w:val="24"/>
              </w:rPr>
              <w:t xml:space="preserve">. </w:t>
            </w:r>
            <w:r w:rsidRPr="009D44F8">
              <w:rPr>
                <w:rFonts w:ascii="Arial" w:eastAsia="Calibri" w:hAnsi="Arial" w:cs="Arial"/>
                <w:sz w:val="24"/>
                <w:lang w:val="x-none"/>
              </w:rPr>
              <w:t xml:space="preserve">Należy wskazać czy </w:t>
            </w:r>
            <w:r w:rsidRPr="009D44F8">
              <w:rPr>
                <w:rFonts w:ascii="Arial" w:eastAsia="Calibri" w:hAnsi="Arial" w:cs="Arial"/>
                <w:sz w:val="24"/>
                <w:lang w:val="x-none"/>
              </w:rPr>
              <w:br/>
              <w:t>w ramach projektu</w:t>
            </w:r>
            <w:r w:rsidRPr="009D44F8">
              <w:rPr>
                <w:rFonts w:ascii="Arial" w:eastAsia="Calibri" w:hAnsi="Arial" w:cs="Arial"/>
                <w:sz w:val="24"/>
              </w:rPr>
              <w:t xml:space="preserve"> przewidziano zastosowane praktycznych przyjaznych środowisku i mieszkańcom rozwiązań, takich jak np.: nabycie zeroemisyjnego taboru autobusowego, </w:t>
            </w:r>
            <w:r w:rsidRPr="009D44F8">
              <w:rPr>
                <w:rFonts w:ascii="Arial" w:eastAsia="Calibri" w:hAnsi="Arial" w:cs="Arial"/>
                <w:bCs/>
                <w:iCs/>
                <w:sz w:val="24"/>
              </w:rPr>
              <w:t xml:space="preserve">uwzględnienie mikro infrastruktury odnawialnych źródeł energii na potrzeby transportu miejskiego; </w:t>
            </w:r>
            <w:r w:rsidRPr="009D44F8">
              <w:rPr>
                <w:rFonts w:ascii="Arial" w:eastAsia="Calibri" w:hAnsi="Arial" w:cs="Arial"/>
                <w:sz w:val="24"/>
              </w:rPr>
              <w:t>budowa „</w:t>
            </w:r>
            <w:r w:rsidRPr="009D44F8">
              <w:rPr>
                <w:rFonts w:ascii="Arial" w:eastAsia="Calibri" w:hAnsi="Arial" w:cs="Arial"/>
                <w:i/>
                <w:iCs/>
                <w:sz w:val="24"/>
              </w:rPr>
              <w:t>zielonych</w:t>
            </w:r>
            <w:r w:rsidRPr="009D44F8">
              <w:rPr>
                <w:rFonts w:ascii="Arial" w:eastAsia="Calibri" w:hAnsi="Arial" w:cs="Arial"/>
                <w:sz w:val="24"/>
              </w:rPr>
              <w:t xml:space="preserve">” wiat przystankowych z funkcją retencji wody wraz z zielenią towarzyszącą; utworzenie ogólnodostępnych punktów ładowania darmową zieloną energią np. telefonu lub roweru elektrycznego np. na przystankach; rozwiązania przeciwdziałające niekontrolowanej emisji sztucznego światła w miejscach, </w:t>
            </w:r>
            <w:r>
              <w:rPr>
                <w:rFonts w:ascii="Arial" w:eastAsia="Calibri" w:hAnsi="Arial" w:cs="Arial"/>
                <w:sz w:val="24"/>
              </w:rPr>
              <w:br/>
            </w:r>
            <w:r w:rsidRPr="009D44F8">
              <w:rPr>
                <w:rFonts w:ascii="Arial" w:eastAsia="Calibri" w:hAnsi="Arial" w:cs="Arial"/>
                <w:sz w:val="24"/>
              </w:rPr>
              <w:t xml:space="preserve">w których jest ona zbędna (np. w projekcie zaplanowano, że lampa zlokalizowana będzie jak najbliżej ciągów komunikacyjnych (skupienie strumienia światła na drogach, ulicach, chodnikach i innych obszarach użytkowych, zamiast na polach, lasach, oknach domów, zadrzewieniach </w:t>
            </w:r>
            <w:r>
              <w:rPr>
                <w:rFonts w:ascii="Arial" w:eastAsia="Calibri" w:hAnsi="Arial" w:cs="Arial"/>
                <w:sz w:val="24"/>
              </w:rPr>
              <w:br/>
            </w:r>
            <w:r w:rsidRPr="009D44F8">
              <w:rPr>
                <w:rFonts w:ascii="Arial" w:eastAsia="Calibri" w:hAnsi="Arial" w:cs="Arial"/>
                <w:sz w:val="24"/>
              </w:rPr>
              <w:t>i innych terenach zielonych); rozwiązania chroniące ptaki (eliminacja potencjalnych miejsc kolizji) i owady</w:t>
            </w:r>
          </w:p>
          <w:p w14:paraId="4054457A" w14:textId="6218898B" w:rsidR="00D00985" w:rsidRPr="00396247" w:rsidRDefault="00D00985" w:rsidP="00833A73">
            <w:pPr>
              <w:pStyle w:val="Akapitzlist"/>
              <w:numPr>
                <w:ilvl w:val="0"/>
                <w:numId w:val="58"/>
              </w:numPr>
              <w:rPr>
                <w:rFonts w:ascii="Arial" w:eastAsia="Calibri" w:hAnsi="Arial" w:cs="Arial"/>
                <w:color w:val="FF0000"/>
                <w:sz w:val="24"/>
              </w:rPr>
            </w:pPr>
            <w:r>
              <w:rPr>
                <w:rFonts w:ascii="Arial" w:eastAsia="Calibri" w:hAnsi="Arial" w:cs="Arial"/>
                <w:b/>
                <w:sz w:val="24"/>
              </w:rPr>
              <w:t>o</w:t>
            </w:r>
            <w:r w:rsidRPr="004216D9">
              <w:rPr>
                <w:rFonts w:ascii="Arial" w:eastAsia="Calibri" w:hAnsi="Arial" w:cs="Arial"/>
                <w:b/>
                <w:sz w:val="24"/>
              </w:rPr>
              <w:t>chrona roślin w projekcie</w:t>
            </w:r>
            <w:r w:rsidRPr="004216D9">
              <w:rPr>
                <w:rFonts w:ascii="Arial" w:eastAsia="Calibri" w:hAnsi="Arial" w:cs="Arial"/>
                <w:sz w:val="24"/>
              </w:rPr>
              <w:t>. Należy wskazać, czy w projekcie na etapie projektowania, realizacji oraz trwałości projektu zaplanowano zastosowanie „</w:t>
            </w:r>
            <w:r w:rsidRPr="004216D9">
              <w:rPr>
                <w:rFonts w:ascii="Arial" w:eastAsia="Calibri" w:hAnsi="Arial" w:cs="Arial"/>
                <w:i/>
                <w:sz w:val="24"/>
              </w:rPr>
              <w:t>Standardu ochrony drzew i innych form zieleni w projekcie inwestycyjnym</w:t>
            </w:r>
            <w:r w:rsidRPr="004216D9">
              <w:rPr>
                <w:rFonts w:ascii="Arial" w:eastAsia="Calibri" w:hAnsi="Arial" w:cs="Arial"/>
                <w:sz w:val="24"/>
              </w:rPr>
              <w:t xml:space="preserve">”. Opracowanie dostępne jest na stronie </w:t>
            </w:r>
            <w:hyperlink r:id="rId10" w:history="1">
              <w:r w:rsidRPr="004216D9">
                <w:rPr>
                  <w:rStyle w:val="Hipercze"/>
                  <w:rFonts w:ascii="Arial" w:eastAsia="Calibri" w:hAnsi="Arial" w:cs="Arial"/>
                  <w:color w:val="auto"/>
                  <w:sz w:val="24"/>
                  <w:u w:val="none"/>
                </w:rPr>
                <w:t>Narodowego Funduszu Ochrony Środowiska i Gospodarki Wodnej</w:t>
              </w:r>
            </w:hyperlink>
            <w:r w:rsidRPr="004216D9">
              <w:rPr>
                <w:rFonts w:ascii="Arial" w:eastAsia="Calibri" w:hAnsi="Arial" w:cs="Arial"/>
                <w:sz w:val="24"/>
                <w:vertAlign w:val="superscript"/>
              </w:rPr>
              <w:footnoteReference w:id="5"/>
            </w:r>
            <w:r w:rsidRPr="004216D9">
              <w:rPr>
                <w:rFonts w:ascii="Arial" w:eastAsia="Calibri" w:hAnsi="Arial" w:cs="Arial"/>
                <w:sz w:val="24"/>
              </w:rPr>
              <w:t xml:space="preserve">. Dodatkowo należy wskazać czy w ramach projektu zaplanowano czy nie zaplanowano wycinkę drzew lub krzewów, a w przypadku jeśli wycinka jest konieczna czy zaplanowano nasadzenia rodzimymi gatunkami drzew lub krzewów wykorzystywanymi do zalesienia wskazanych </w:t>
            </w:r>
            <w:r w:rsidRPr="004216D9">
              <w:rPr>
                <w:rFonts w:ascii="Arial" w:eastAsia="Calibri" w:hAnsi="Arial" w:cs="Arial"/>
                <w:sz w:val="24"/>
              </w:rPr>
              <w:lastRenderedPageBreak/>
              <w:t xml:space="preserve">przez </w:t>
            </w:r>
            <w:hyperlink r:id="rId11" w:history="1">
              <w:r w:rsidRPr="004216D9">
                <w:rPr>
                  <w:rStyle w:val="Hipercze"/>
                  <w:rFonts w:ascii="Arial" w:eastAsia="Calibri" w:hAnsi="Arial" w:cs="Arial"/>
                  <w:color w:val="auto"/>
                  <w:sz w:val="24"/>
                  <w:u w:val="none"/>
                </w:rPr>
                <w:t>Agencję Restrukturyzacji i Modernizacji Rolnictwa</w:t>
              </w:r>
              <w:r w:rsidRPr="004216D9">
                <w:rPr>
                  <w:rStyle w:val="Hipercze"/>
                  <w:rFonts w:ascii="Arial" w:eastAsia="Calibri" w:hAnsi="Arial" w:cs="Arial"/>
                  <w:color w:val="auto"/>
                  <w:sz w:val="24"/>
                  <w:u w:val="none"/>
                  <w:vertAlign w:val="superscript"/>
                </w:rPr>
                <w:footnoteReference w:id="6"/>
              </w:r>
              <w:r w:rsidRPr="004216D9">
                <w:rPr>
                  <w:rStyle w:val="Hipercze"/>
                  <w:rFonts w:ascii="Arial" w:eastAsia="Calibri" w:hAnsi="Arial" w:cs="Arial"/>
                  <w:color w:val="auto"/>
                  <w:sz w:val="24"/>
                  <w:u w:val="none"/>
                </w:rPr>
                <w:t>,</w:t>
              </w:r>
            </w:hyperlink>
            <w:r w:rsidRPr="004216D9">
              <w:rPr>
                <w:rFonts w:ascii="Arial" w:eastAsia="Calibri" w:hAnsi="Arial" w:cs="Arial"/>
                <w:sz w:val="24"/>
              </w:rPr>
              <w:t xml:space="preserve"> zgodnie z listą będącą załącznikiem do </w:t>
            </w:r>
            <w:r w:rsidR="00833A73">
              <w:rPr>
                <w:rFonts w:ascii="Arial" w:eastAsia="Calibri" w:hAnsi="Arial" w:cs="Arial"/>
                <w:sz w:val="24"/>
              </w:rPr>
              <w:t>ogłoszenia</w:t>
            </w:r>
            <w:r w:rsidRPr="004216D9">
              <w:rPr>
                <w:rFonts w:ascii="Arial" w:eastAsia="Calibri" w:hAnsi="Arial" w:cs="Arial"/>
                <w:sz w:val="24"/>
              </w:rPr>
              <w:t xml:space="preserve">. W przypadku jeśli w projekcie planowane są nasadzenia należy podać konkretne gatunki drzew i krzewów wskazane na ww. liście. </w:t>
            </w:r>
          </w:p>
        </w:tc>
        <w:bookmarkStart w:id="0" w:name="_GoBack"/>
        <w:bookmarkEnd w:id="0"/>
      </w:tr>
      <w:tr w:rsidR="00D00985" w:rsidRPr="00396247" w14:paraId="1CB7287F"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45CEFCFE" w14:textId="77777777" w:rsidR="00D00985" w:rsidRPr="00137B00" w:rsidRDefault="00D00985" w:rsidP="00D00985">
            <w:pPr>
              <w:spacing w:before="240" w:after="0" w:line="240" w:lineRule="auto"/>
              <w:jc w:val="both"/>
              <w:rPr>
                <w:rFonts w:ascii="Arial" w:eastAsia="Times New Roman" w:hAnsi="Arial" w:cs="Arial"/>
                <w:b/>
                <w:sz w:val="24"/>
                <w:szCs w:val="24"/>
                <w:lang w:eastAsia="pl-PL"/>
              </w:rPr>
            </w:pPr>
            <w:r w:rsidRPr="00137B00">
              <w:rPr>
                <w:rFonts w:ascii="Arial" w:eastAsia="Times New Roman" w:hAnsi="Arial" w:cs="Arial"/>
                <w:b/>
                <w:sz w:val="24"/>
                <w:szCs w:val="24"/>
                <w:lang w:eastAsia="pl-PL"/>
              </w:rPr>
              <w:lastRenderedPageBreak/>
              <w:t xml:space="preserve">Załącznik Mapa lokalizująca projekt w najbliższym otoczeniu </w:t>
            </w:r>
          </w:p>
          <w:p w14:paraId="30CC79B6" w14:textId="77777777" w:rsidR="00D00985" w:rsidRPr="00E64602" w:rsidRDefault="00D00985" w:rsidP="00D00985">
            <w:pPr>
              <w:spacing w:before="240" w:after="0" w:line="240" w:lineRule="auto"/>
              <w:jc w:val="both"/>
              <w:rPr>
                <w:rFonts w:ascii="Arial" w:eastAsia="Times New Roman" w:hAnsi="Arial" w:cs="Arial"/>
                <w:b/>
                <w:sz w:val="24"/>
                <w:szCs w:val="24"/>
                <w:lang w:eastAsia="pl-PL"/>
              </w:rPr>
            </w:pPr>
            <w:r w:rsidRPr="00E64602">
              <w:rPr>
                <w:rFonts w:ascii="Arial" w:eastAsia="Times New Roman" w:hAnsi="Arial" w:cs="Arial"/>
                <w:b/>
                <w:sz w:val="24"/>
                <w:szCs w:val="24"/>
                <w:lang w:eastAsia="pl-PL"/>
              </w:rPr>
              <w:t>Typ projektu A. Transport miejski</w:t>
            </w:r>
          </w:p>
          <w:p w14:paraId="2F660200" w14:textId="77777777" w:rsidR="00D00985" w:rsidRPr="00137B00" w:rsidRDefault="00D00985" w:rsidP="00D00985">
            <w:pPr>
              <w:spacing w:before="240" w:after="0" w:line="240" w:lineRule="auto"/>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Należy przedstawić szczegółową mapę zawierająca w przypadku:</w:t>
            </w:r>
          </w:p>
          <w:p w14:paraId="77678D64" w14:textId="77777777" w:rsidR="00D00985" w:rsidRPr="00137B00" w:rsidRDefault="00D00985" w:rsidP="00CF1BE3">
            <w:pPr>
              <w:pStyle w:val="Akapitzlist"/>
              <w:numPr>
                <w:ilvl w:val="0"/>
                <w:numId w:val="59"/>
              </w:numPr>
              <w:spacing w:before="240"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zakupu taboru – linie autobusowe, które mają być obsługiwane przez zakupiony tabor;</w:t>
            </w:r>
          </w:p>
          <w:p w14:paraId="5AA83BE6" w14:textId="77777777" w:rsidR="00D00985" w:rsidRPr="00137B00" w:rsidRDefault="00D00985" w:rsidP="00CF1BE3">
            <w:pPr>
              <w:pStyle w:val="Akapitzlist"/>
              <w:numPr>
                <w:ilvl w:val="0"/>
                <w:numId w:val="59"/>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z budową węzłów przesiadkowych / obiektów typu Park&amp;Ride  – przystanki komunikacji zbiorowej (wraz z zaznaczeniem drogi dojścia) oraz dodatkowo w przypadku węzłów przesiadkowych - drogi dojazdowe do węzła;</w:t>
            </w:r>
          </w:p>
          <w:p w14:paraId="030EC917" w14:textId="77777777" w:rsidR="00D00985" w:rsidRPr="00137B00" w:rsidRDefault="00D00985" w:rsidP="00CF1BE3">
            <w:pPr>
              <w:pStyle w:val="Akapitzlist"/>
              <w:numPr>
                <w:ilvl w:val="0"/>
                <w:numId w:val="59"/>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 xml:space="preserve">ścieżek rowerowych – przebieg istniejących, planowanych </w:t>
            </w:r>
            <w:r w:rsidRPr="00137B00">
              <w:rPr>
                <w:rFonts w:ascii="Arial" w:eastAsia="Times New Roman" w:hAnsi="Arial" w:cs="Arial"/>
                <w:sz w:val="24"/>
                <w:szCs w:val="24"/>
                <w:lang w:eastAsia="pl-PL"/>
              </w:rPr>
              <w:br/>
              <w:t>w ramach projektu oraz planowanych w przyszłości ścieżek rowerowych wraz z zaznaczeniem infrastruktury towarzyszącej;</w:t>
            </w:r>
          </w:p>
          <w:p w14:paraId="6945255C" w14:textId="77777777" w:rsidR="00D00985" w:rsidRPr="00396247" w:rsidRDefault="00D00985" w:rsidP="00CF1BE3">
            <w:pPr>
              <w:pStyle w:val="Default"/>
              <w:numPr>
                <w:ilvl w:val="0"/>
                <w:numId w:val="59"/>
              </w:numPr>
              <w:spacing w:after="120" w:line="276" w:lineRule="auto"/>
              <w:ind w:left="738"/>
              <w:rPr>
                <w:rFonts w:ascii="Arial" w:eastAsia="Times New Roman" w:hAnsi="Arial" w:cs="Arial"/>
                <w:b/>
                <w:iCs/>
                <w:color w:val="FF0000"/>
                <w:lang w:eastAsia="ar-SA"/>
              </w:rPr>
            </w:pPr>
            <w:r w:rsidRPr="00137B00">
              <w:rPr>
                <w:rFonts w:ascii="Arial" w:eastAsia="Times New Roman" w:hAnsi="Arial" w:cs="Arial"/>
                <w:color w:val="auto"/>
                <w:lang w:eastAsia="pl-PL"/>
              </w:rPr>
              <w:t xml:space="preserve">organizacji i zarządzania ruchem – obszar objęty organizacją  </w:t>
            </w:r>
            <w:r>
              <w:rPr>
                <w:rFonts w:ascii="Arial" w:eastAsia="Times New Roman" w:hAnsi="Arial" w:cs="Arial"/>
                <w:color w:val="auto"/>
                <w:lang w:eastAsia="pl-PL"/>
              </w:rPr>
              <w:br/>
            </w:r>
            <w:r w:rsidRPr="00137B00">
              <w:rPr>
                <w:rFonts w:ascii="Arial" w:eastAsia="Times New Roman" w:hAnsi="Arial" w:cs="Arial"/>
                <w:color w:val="auto"/>
                <w:lang w:eastAsia="pl-PL"/>
              </w:rPr>
              <w:t xml:space="preserve">i zarządzaniem ruchem oraz oznaczenie lokalizacji urządzeń związanych </w:t>
            </w:r>
            <w:r>
              <w:rPr>
                <w:rFonts w:ascii="Arial" w:eastAsia="Times New Roman" w:hAnsi="Arial" w:cs="Arial"/>
                <w:color w:val="auto"/>
                <w:lang w:eastAsia="pl-PL"/>
              </w:rPr>
              <w:br/>
            </w:r>
            <w:r w:rsidRPr="00137B00">
              <w:rPr>
                <w:rFonts w:ascii="Arial" w:eastAsia="Times New Roman" w:hAnsi="Arial" w:cs="Arial"/>
                <w:color w:val="auto"/>
                <w:lang w:eastAsia="pl-PL"/>
              </w:rPr>
              <w:t>z organizacją i zarządzaniem ruchem.</w:t>
            </w:r>
          </w:p>
        </w:tc>
      </w:tr>
      <w:tr w:rsidR="00D00985" w:rsidRPr="003D5A4C" w14:paraId="1EFA2247"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39995419" w14:textId="77777777" w:rsidR="00D00985" w:rsidRPr="00657401" w:rsidRDefault="00D00985" w:rsidP="00D00985">
            <w:pPr>
              <w:spacing w:after="120" w:line="276" w:lineRule="auto"/>
              <w:rPr>
                <w:rFonts w:ascii="Arial" w:hAnsi="Arial" w:cs="Arial"/>
                <w:b/>
                <w:iCs/>
                <w:sz w:val="24"/>
                <w:szCs w:val="24"/>
              </w:rPr>
            </w:pPr>
            <w:r w:rsidRPr="00657401">
              <w:rPr>
                <w:rFonts w:ascii="Arial" w:hAnsi="Arial" w:cs="Arial"/>
                <w:b/>
                <w:iCs/>
                <w:sz w:val="24"/>
                <w:szCs w:val="24"/>
              </w:rPr>
              <w:t>Pkt N.4.</w:t>
            </w:r>
            <w:r>
              <w:rPr>
                <w:rFonts w:ascii="Arial" w:hAnsi="Arial" w:cs="Arial"/>
                <w:b/>
                <w:iCs/>
                <w:sz w:val="24"/>
                <w:szCs w:val="24"/>
              </w:rPr>
              <w:t>Trwałość finansowa</w:t>
            </w:r>
            <w:r w:rsidRPr="00657401">
              <w:rPr>
                <w:rFonts w:ascii="Arial" w:hAnsi="Arial" w:cs="Arial"/>
                <w:b/>
                <w:iCs/>
                <w:sz w:val="24"/>
                <w:szCs w:val="24"/>
              </w:rPr>
              <w:t xml:space="preserve"> </w:t>
            </w:r>
          </w:p>
          <w:p w14:paraId="4A3C1341" w14:textId="77777777" w:rsidR="00D00985" w:rsidRPr="003176BA" w:rsidRDefault="00D00985" w:rsidP="00D00985">
            <w:pPr>
              <w:spacing w:after="120" w:line="276" w:lineRule="auto"/>
              <w:rPr>
                <w:rFonts w:ascii="Arial" w:hAnsi="Arial" w:cs="Arial"/>
                <w:iCs/>
                <w:sz w:val="24"/>
                <w:szCs w:val="24"/>
              </w:rPr>
            </w:pPr>
            <w:r w:rsidRPr="003176BA">
              <w:rPr>
                <w:rFonts w:ascii="Arial" w:hAnsi="Arial" w:cs="Arial"/>
                <w:iCs/>
                <w:sz w:val="24"/>
                <w:szCs w:val="24"/>
              </w:rPr>
              <w:t>W sytuacji, gdy w realizację i/lub eksploatację projektu zaangażowany będzie finansowo więcej niż jeden podmiot (np. Partner/Realizator/Operator), weryfikację trwałości finansowej (w powiązaniu</w:t>
            </w:r>
            <w:r>
              <w:rPr>
                <w:rFonts w:ascii="Arial" w:hAnsi="Arial" w:cs="Arial"/>
                <w:iCs/>
                <w:sz w:val="24"/>
                <w:szCs w:val="24"/>
              </w:rPr>
              <w:t xml:space="preserve"> i spójnie</w:t>
            </w:r>
            <w:r w:rsidRPr="003176BA">
              <w:rPr>
                <w:rFonts w:ascii="Arial" w:hAnsi="Arial" w:cs="Arial"/>
                <w:iCs/>
                <w:sz w:val="24"/>
                <w:szCs w:val="24"/>
              </w:rPr>
              <w:t xml:space="preserve"> z danymi </w:t>
            </w:r>
            <w:r>
              <w:rPr>
                <w:rFonts w:ascii="Arial" w:hAnsi="Arial" w:cs="Arial"/>
                <w:iCs/>
                <w:sz w:val="24"/>
                <w:szCs w:val="24"/>
              </w:rPr>
              <w:t xml:space="preserve">i obliczeniami w pliku </w:t>
            </w:r>
            <w:r w:rsidRPr="000E78D5">
              <w:rPr>
                <w:rFonts w:ascii="Arial" w:hAnsi="Arial" w:cs="Arial"/>
                <w:iCs/>
                <w:sz w:val="24"/>
                <w:szCs w:val="24"/>
              </w:rPr>
              <w:t>Analiza finansowa</w:t>
            </w:r>
            <w:r w:rsidRPr="003176BA">
              <w:rPr>
                <w:rFonts w:ascii="Arial" w:hAnsi="Arial" w:cs="Arial"/>
                <w:iCs/>
                <w:sz w:val="24"/>
                <w:szCs w:val="24"/>
              </w:rPr>
              <w:t xml:space="preserve">) należy przedstawić oddzielnie dla każdego z nich, zgodnie z właściwymi wymogami dla danego typu podmiotu zawartymi w </w:t>
            </w:r>
            <w:r>
              <w:rPr>
                <w:rFonts w:ascii="Arial" w:hAnsi="Arial" w:cs="Arial"/>
                <w:iCs/>
                <w:sz w:val="24"/>
                <w:szCs w:val="24"/>
              </w:rPr>
              <w:t xml:space="preserve">Rozdziale 13.6 </w:t>
            </w:r>
            <w:r w:rsidRPr="000E78D5">
              <w:rPr>
                <w:rFonts w:ascii="Arial" w:hAnsi="Arial" w:cs="Arial"/>
                <w:iCs/>
                <w:sz w:val="24"/>
                <w:szCs w:val="24"/>
              </w:rPr>
              <w:t xml:space="preserve">Wademekum wiedzy o wniosku. </w:t>
            </w:r>
            <w:r w:rsidRPr="003176BA">
              <w:rPr>
                <w:rFonts w:ascii="Arial" w:hAnsi="Arial" w:cs="Arial"/>
                <w:iCs/>
                <w:sz w:val="24"/>
                <w:szCs w:val="24"/>
              </w:rPr>
              <w:t>Należy również dołączyć wymagane dokumenty finansowe zgodnie z zapisami części II</w:t>
            </w:r>
            <w:r>
              <w:rPr>
                <w:rFonts w:ascii="Arial" w:hAnsi="Arial" w:cs="Arial"/>
                <w:iCs/>
                <w:sz w:val="24"/>
                <w:szCs w:val="24"/>
              </w:rPr>
              <w:t>I</w:t>
            </w:r>
            <w:r w:rsidRPr="003176BA">
              <w:rPr>
                <w:rFonts w:ascii="Arial" w:hAnsi="Arial" w:cs="Arial"/>
                <w:iCs/>
                <w:sz w:val="24"/>
                <w:szCs w:val="24"/>
              </w:rPr>
              <w:t xml:space="preserve">. Wykaz załączników i oświadczeń.   </w:t>
            </w:r>
          </w:p>
          <w:p w14:paraId="7DBB8C16" w14:textId="77777777" w:rsidR="00D00985" w:rsidRPr="008A4B3C" w:rsidRDefault="00D00985" w:rsidP="00D00985">
            <w:pPr>
              <w:autoSpaceDE w:val="0"/>
              <w:autoSpaceDN w:val="0"/>
              <w:adjustRightInd w:val="0"/>
              <w:jc w:val="both"/>
              <w:rPr>
                <w:rFonts w:ascii="Arial" w:eastAsia="Calibri" w:hAnsi="Arial" w:cs="Arial"/>
                <w:sz w:val="24"/>
                <w:szCs w:val="24"/>
              </w:rPr>
            </w:pPr>
            <w:r w:rsidRPr="003176BA">
              <w:rPr>
                <w:rFonts w:ascii="Arial" w:hAnsi="Arial" w:cs="Arial"/>
                <w:iCs/>
                <w:sz w:val="24"/>
                <w:szCs w:val="24"/>
              </w:rPr>
              <w:t>Odpowiednie informacje przedstawić należy w podziale na fazę realizacji (pkt N</w:t>
            </w:r>
            <w:r>
              <w:rPr>
                <w:rFonts w:ascii="Arial" w:hAnsi="Arial" w:cs="Arial"/>
                <w:iCs/>
                <w:sz w:val="24"/>
                <w:szCs w:val="24"/>
              </w:rPr>
              <w:t>.</w:t>
            </w:r>
            <w:r w:rsidRPr="003176BA">
              <w:rPr>
                <w:rFonts w:ascii="Arial" w:hAnsi="Arial" w:cs="Arial"/>
                <w:iCs/>
                <w:sz w:val="24"/>
                <w:szCs w:val="24"/>
              </w:rPr>
              <w:t>4.1) oraz fazę eksploatacji (pkt. N.4.2)</w:t>
            </w:r>
            <w:r>
              <w:rPr>
                <w:rFonts w:ascii="Arial" w:hAnsi="Arial" w:cs="Arial"/>
                <w:b/>
                <w:iCs/>
                <w:sz w:val="24"/>
                <w:szCs w:val="24"/>
              </w:rPr>
              <w:t>.</w:t>
            </w:r>
          </w:p>
        </w:tc>
      </w:tr>
      <w:tr w:rsidR="009C7412" w:rsidRPr="003D5A4C" w14:paraId="0822F4DD" w14:textId="77777777" w:rsidTr="00D00985">
        <w:tc>
          <w:tcPr>
            <w:tcW w:w="9060" w:type="dxa"/>
            <w:tcBorders>
              <w:top w:val="single" w:sz="4" w:space="0" w:color="auto"/>
              <w:left w:val="single" w:sz="4" w:space="0" w:color="auto"/>
              <w:bottom w:val="single" w:sz="4" w:space="0" w:color="auto"/>
              <w:right w:val="single" w:sz="4" w:space="0" w:color="auto"/>
            </w:tcBorders>
            <w:shd w:val="clear" w:color="auto" w:fill="auto"/>
          </w:tcPr>
          <w:p w14:paraId="7E457143" w14:textId="77777777" w:rsidR="003C77C8" w:rsidRPr="003C77C8" w:rsidRDefault="003C77C8" w:rsidP="003C77C8">
            <w:pPr>
              <w:autoSpaceDE w:val="0"/>
              <w:autoSpaceDN w:val="0"/>
              <w:adjustRightInd w:val="0"/>
              <w:jc w:val="both"/>
              <w:rPr>
                <w:rFonts w:ascii="Arial" w:hAnsi="Arial" w:cs="Arial"/>
                <w:b/>
                <w:sz w:val="24"/>
                <w:szCs w:val="24"/>
              </w:rPr>
            </w:pPr>
            <w:r w:rsidRPr="003C77C8">
              <w:rPr>
                <w:rFonts w:ascii="Arial" w:hAnsi="Arial" w:cs="Arial"/>
                <w:b/>
                <w:sz w:val="24"/>
                <w:szCs w:val="24"/>
              </w:rPr>
              <w:t xml:space="preserve">Pkt O.2.7 Inne założenia: </w:t>
            </w:r>
          </w:p>
          <w:p w14:paraId="49170F86" w14:textId="77777777" w:rsidR="003C77C8" w:rsidRPr="003C77C8" w:rsidRDefault="003C77C8" w:rsidP="003C77C8">
            <w:pPr>
              <w:autoSpaceDE w:val="0"/>
              <w:autoSpaceDN w:val="0"/>
              <w:adjustRightInd w:val="0"/>
              <w:jc w:val="both"/>
              <w:rPr>
                <w:rFonts w:ascii="Arial" w:hAnsi="Arial" w:cs="Arial"/>
                <w:sz w:val="24"/>
                <w:szCs w:val="24"/>
              </w:rPr>
            </w:pPr>
            <w:r w:rsidRPr="003C77C8">
              <w:rPr>
                <w:rFonts w:ascii="Arial" w:hAnsi="Arial" w:cs="Arial"/>
                <w:sz w:val="24"/>
                <w:szCs w:val="24"/>
              </w:rPr>
              <w:t xml:space="preserve">W przypadku projektów inwestycyjnych, w których dofinansowanie ma stanowić element wynagrodzenia/rekompensaty na rzecz operatora świadczącego usługi w ogólnym interesie gospodarczym w szczególności w sytuacji świadczenia usług w oparciu o rekompensatę stanowiącą pomoc publiczną na podstawie Rozporządzenia (WE) Nr 1370/2007 Parlamentu Europejskiego i Rady z dnia 23 października 2007r. koniecznym jest przedstawienie kalkulacji rekompensaty z uwzględnieniem dofinansowania ze środków FEM na lata 2021-2027. Kalkulacja winna zostać przeprowadzona w załączniku Analiza Finansowa, arkusz Analizy specyficzne). Jednocześnie we wniosku o dofinansowanie w punkcie O.2.7 koniecznym jest przedstawienie odpowiedniego uzasadnienia i sposobu ustalania wysokości </w:t>
            </w:r>
            <w:r w:rsidRPr="003C77C8">
              <w:rPr>
                <w:rFonts w:ascii="Arial" w:hAnsi="Arial" w:cs="Arial"/>
                <w:b/>
                <w:sz w:val="24"/>
                <w:szCs w:val="24"/>
              </w:rPr>
              <w:t xml:space="preserve">rekompensaty </w:t>
            </w:r>
            <w:r w:rsidRPr="003C77C8">
              <w:rPr>
                <w:rFonts w:ascii="Arial" w:hAnsi="Arial" w:cs="Arial"/>
                <w:sz w:val="24"/>
                <w:szCs w:val="24"/>
              </w:rPr>
              <w:t xml:space="preserve">potwierdzających, iż udzielone dofinansowanie nie spowoduje przekroczenia dopuszczalnego poziomu rekompensaty, o którym mowa m.in. w art. 4 ust.1 lit.b oraz w art. 6 ust. 1 oraz załączniku do ww. Rozporządzenia, wypłacanego operatorowi za świadczoną usługę publiczną. </w:t>
            </w:r>
          </w:p>
          <w:p w14:paraId="4BDD6971" w14:textId="14BB6F02" w:rsidR="009C7412" w:rsidRPr="008A4B3C" w:rsidRDefault="003C77C8" w:rsidP="003C77C8">
            <w:pPr>
              <w:autoSpaceDE w:val="0"/>
              <w:autoSpaceDN w:val="0"/>
              <w:adjustRightInd w:val="0"/>
              <w:jc w:val="both"/>
              <w:rPr>
                <w:rFonts w:ascii="Arial" w:eastAsia="Calibri" w:hAnsi="Arial" w:cs="Arial"/>
                <w:sz w:val="24"/>
                <w:szCs w:val="24"/>
              </w:rPr>
            </w:pPr>
            <w:r w:rsidRPr="003C77C8">
              <w:rPr>
                <w:rFonts w:ascii="Arial" w:hAnsi="Arial" w:cs="Arial"/>
                <w:sz w:val="24"/>
                <w:szCs w:val="24"/>
              </w:rPr>
              <w:t xml:space="preserve">W przypadku inwestycji związanych ze świadczeniem usług, dla których spełnione są kryteria z orzeczenia ws. Altmark Trans Gmbh koniecznym jest wykazanie, że wynagrodzenie operatora może zostać uzupełnione ze środków dotacji oraz wykazanie w jaki sposób dofinansowanie wpłynie na jej wysokość.  </w:t>
            </w:r>
          </w:p>
        </w:tc>
      </w:tr>
    </w:tbl>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49D5FBD8" w14:textId="5CEA8DB4" w:rsidR="00511627" w:rsidRPr="00511627" w:rsidRDefault="00511627" w:rsidP="00511627">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BA3DF61" w14:textId="0CC2B46D" w:rsidR="00511627" w:rsidRPr="00511627" w:rsidRDefault="00511627" w:rsidP="00511627">
            <w:pPr>
              <w:spacing w:after="120" w:line="276" w:lineRule="auto"/>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4"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2542C3E" w14:textId="77777777" w:rsidR="00511627" w:rsidRPr="00511627" w:rsidRDefault="00511627" w:rsidP="00511627">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68BD62C7" w14:textId="51B8C640" w:rsidR="00511627" w:rsidRPr="00511627" w:rsidRDefault="00511627" w:rsidP="00511627">
            <w:pPr>
              <w:pStyle w:val="Akapitzlist"/>
              <w:numPr>
                <w:ilvl w:val="0"/>
                <w:numId w:val="13"/>
              </w:numPr>
              <w:spacing w:after="120" w:line="276" w:lineRule="auto"/>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w:t>
            </w:r>
            <w:r>
              <w:rPr>
                <w:rFonts w:ascii="Arial" w:hAnsi="Arial" w:cs="Arial"/>
                <w:sz w:val="24"/>
                <w:szCs w:val="24"/>
              </w:rPr>
              <w:lastRenderedPageBreak/>
              <w:t xml:space="preserve">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lastRenderedPageBreak/>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lastRenderedPageBreak/>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5"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8F3DBA" w:rsidRDefault="007F4289" w:rsidP="008F3DBA">
            <w:p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w:t>
            </w:r>
            <w:r w:rsidRPr="002D65DA">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CF1BE3">
            <w:pPr>
              <w:pStyle w:val="Default"/>
              <w:numPr>
                <w:ilvl w:val="0"/>
                <w:numId w:val="33"/>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CF1BE3">
            <w:pPr>
              <w:pStyle w:val="Default"/>
              <w:numPr>
                <w:ilvl w:val="0"/>
                <w:numId w:val="33"/>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CF1BE3">
            <w:pPr>
              <w:pStyle w:val="Default"/>
              <w:numPr>
                <w:ilvl w:val="0"/>
                <w:numId w:val="33"/>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lastRenderedPageBreak/>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14E9433B"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D242CA">
              <w:rPr>
                <w:rFonts w:ascii="Arial" w:hAnsi="Arial" w:cs="Arial"/>
                <w:sz w:val="24"/>
                <w:szCs w:val="24"/>
              </w:rPr>
              <w:t xml:space="preserve"> </w:t>
            </w:r>
            <w:r w:rsidR="00D242CA" w:rsidRPr="00D242CA">
              <w:rPr>
                <w:rFonts w:ascii="Arial" w:hAnsi="Arial" w:cs="Arial"/>
                <w:sz w:val="24"/>
                <w:szCs w:val="24"/>
              </w:rPr>
              <w:t>(najpóźniej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CF1BE3">
      <w:pPr>
        <w:numPr>
          <w:ilvl w:val="0"/>
          <w:numId w:val="32"/>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CF1BE3">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CF1BE3">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CF1BE3">
      <w:pPr>
        <w:numPr>
          <w:ilvl w:val="0"/>
          <w:numId w:val="32"/>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8F3DBA" w:rsidRDefault="008F3DBA" w:rsidP="00A07FB2">
      <w:pPr>
        <w:spacing w:after="0" w:line="240" w:lineRule="auto"/>
      </w:pPr>
      <w:r>
        <w:separator/>
      </w:r>
    </w:p>
  </w:endnote>
  <w:endnote w:type="continuationSeparator" w:id="0">
    <w:p w14:paraId="6AC67472" w14:textId="77777777" w:rsidR="008F3DBA" w:rsidRDefault="008F3DBA"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69BCF1B3" w:rsidR="008F3DBA" w:rsidRDefault="008F3DBA">
        <w:pPr>
          <w:pStyle w:val="Stopka"/>
          <w:jc w:val="center"/>
        </w:pPr>
        <w:r>
          <w:fldChar w:fldCharType="begin"/>
        </w:r>
        <w:r>
          <w:instrText>PAGE   \* MERGEFORMAT</w:instrText>
        </w:r>
        <w:r>
          <w:fldChar w:fldCharType="separate"/>
        </w:r>
        <w:r w:rsidR="003C77C8">
          <w:rPr>
            <w:noProof/>
          </w:rPr>
          <w:t>40</w:t>
        </w:r>
        <w:r>
          <w:fldChar w:fldCharType="end"/>
        </w:r>
      </w:p>
    </w:sdtContent>
  </w:sdt>
  <w:p w14:paraId="580015FB" w14:textId="77777777" w:rsidR="008F3DBA" w:rsidRDefault="008F3D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8F3DBA" w:rsidRDefault="008F3DBA" w:rsidP="00A07FB2">
      <w:pPr>
        <w:spacing w:after="0" w:line="240" w:lineRule="auto"/>
      </w:pPr>
      <w:r>
        <w:separator/>
      </w:r>
    </w:p>
  </w:footnote>
  <w:footnote w:type="continuationSeparator" w:id="0">
    <w:p w14:paraId="40D97AD4" w14:textId="77777777" w:rsidR="008F3DBA" w:rsidRDefault="008F3DBA" w:rsidP="00A07FB2">
      <w:pPr>
        <w:spacing w:after="0" w:line="240" w:lineRule="auto"/>
      </w:pPr>
      <w:r>
        <w:continuationSeparator/>
      </w:r>
    </w:p>
  </w:footnote>
  <w:footnote w:id="1">
    <w:p w14:paraId="39B6AE10" w14:textId="77777777" w:rsidR="008F3DBA" w:rsidRDefault="008F3DBA" w:rsidP="00D00985">
      <w:pPr>
        <w:pStyle w:val="Tekstprzypisudolnego"/>
      </w:pPr>
      <w:r w:rsidRPr="004C38E7">
        <w:rPr>
          <w:rStyle w:val="Odwoanieprzypisudolnego"/>
        </w:rPr>
        <w:footnoteRef/>
      </w:r>
      <w:r w:rsidRPr="004C38E7">
        <w:t xml:space="preserve"> Niedominujący – tj. nieprzekraczający 50% kosztów kwalifikowalnych projektu</w:t>
      </w:r>
    </w:p>
  </w:footnote>
  <w:footnote w:id="2">
    <w:p w14:paraId="0C8DE0F1" w14:textId="77777777" w:rsidR="008F3DBA" w:rsidRPr="007E56C3" w:rsidRDefault="008F3DBA" w:rsidP="00D0098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39FB3227" w14:textId="77777777" w:rsidR="008F3DBA" w:rsidRPr="007E56C3" w:rsidRDefault="008F3DBA" w:rsidP="00D00985">
      <w:pPr>
        <w:pStyle w:val="Tekstprzypisudolnego"/>
        <w:ind w:left="142" w:hanging="142"/>
        <w:rPr>
          <w:rFonts w:cs="Arial"/>
        </w:rPr>
      </w:pPr>
      <w:r w:rsidRPr="007E56C3">
        <w:rPr>
          <w:rFonts w:cs="Arial"/>
        </w:rPr>
        <w:t>Preferowaną formą zgłaszania do IZ podejrzenia o niezgodności projektów lub działań w ww. zakresie</w:t>
      </w:r>
    </w:p>
    <w:p w14:paraId="74BFC946" w14:textId="77777777" w:rsidR="008F3DBA" w:rsidRPr="007E56C3" w:rsidRDefault="008F3DBA" w:rsidP="00D00985">
      <w:pPr>
        <w:pStyle w:val="Tekstprzypisudolnego"/>
        <w:ind w:left="142" w:hanging="142"/>
        <w:rPr>
          <w:rFonts w:cs="Arial"/>
        </w:rPr>
      </w:pPr>
      <w:r w:rsidRPr="007E56C3">
        <w:rPr>
          <w:rFonts w:cs="Arial"/>
        </w:rPr>
        <w:t>z Kartą Praw Podstawowych Unii Europejskiej lub Konwencją o Prawach Osób Niepełnosprawnych</w:t>
      </w:r>
    </w:p>
    <w:p w14:paraId="7C996ABA" w14:textId="77777777" w:rsidR="008F3DBA" w:rsidRPr="007E56C3" w:rsidRDefault="008F3DBA" w:rsidP="00D00985">
      <w:pPr>
        <w:pStyle w:val="Tekstprzypisudolnego"/>
        <w:ind w:left="142" w:hanging="142"/>
        <w:rPr>
          <w:rFonts w:cs="Arial"/>
        </w:rPr>
      </w:pPr>
      <w:r w:rsidRPr="007E56C3">
        <w:rPr>
          <w:rFonts w:cs="Arial"/>
        </w:rPr>
        <w:t xml:space="preserve">jest forma pisemna na adres mailowy: </w:t>
      </w:r>
      <w:hyperlink r:id="rId1" w:history="1">
        <w:r w:rsidRPr="007E56C3">
          <w:rPr>
            <w:rStyle w:val="Hipercze"/>
            <w:rFonts w:cs="Arial"/>
          </w:rPr>
          <w:t>KPP_KPON@umwm.malopolska.pl</w:t>
        </w:r>
      </w:hyperlink>
      <w:r w:rsidRPr="007E56C3">
        <w:rPr>
          <w:rFonts w:cs="Arial"/>
        </w:rPr>
        <w:t>. Dozwolona jest inna</w:t>
      </w:r>
    </w:p>
    <w:p w14:paraId="24A05BC8" w14:textId="77777777" w:rsidR="008F3DBA" w:rsidRDefault="008F3DBA" w:rsidP="00D0098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5675C730" w14:textId="77777777" w:rsidR="008F3DBA" w:rsidRDefault="008F3DBA" w:rsidP="00D00985">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7F6759B8" w14:textId="77777777" w:rsidR="008F3DBA" w:rsidRPr="00872866" w:rsidRDefault="008F3DBA" w:rsidP="00D00985">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545E871C" w14:textId="77777777" w:rsidR="008F3DBA" w:rsidRDefault="008F3DBA" w:rsidP="00D00985">
      <w:pPr>
        <w:pStyle w:val="Tekstprzypisudolnego"/>
        <w:rPr>
          <w:rFonts w:ascii="Calibri" w:hAnsi="Calibri"/>
          <w:lang w:eastAsia="en-US"/>
        </w:rPr>
      </w:pPr>
      <w:r>
        <w:rPr>
          <w:rStyle w:val="Odwoanieprzypisudolnego"/>
        </w:rPr>
        <w:footnoteRef/>
      </w:r>
      <w:r>
        <w:t xml:space="preserve">  </w:t>
      </w:r>
      <w:hyperlink r:id="rId3"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6">
    <w:p w14:paraId="49721177" w14:textId="77777777" w:rsidR="008F3DBA" w:rsidRDefault="008F3DBA" w:rsidP="00D00985">
      <w:pPr>
        <w:pStyle w:val="Tekstprzypisudolnego"/>
      </w:pPr>
      <w:r>
        <w:rPr>
          <w:rStyle w:val="Odwoanieprzypisudolnego"/>
        </w:rPr>
        <w:footnoteRef/>
      </w:r>
      <w:r>
        <w:t xml:space="preserve"> </w:t>
      </w:r>
      <w:hyperlink r:id="rId4" w:history="1">
        <w:r>
          <w:rPr>
            <w:rStyle w:val="Hipercze"/>
            <w:rFonts w:cs="Arial"/>
            <w:color w:val="0000FF"/>
            <w:szCs w:val="22"/>
          </w:rPr>
          <w:t>https://www.gov.pl/web/arimr/gatunki-i-rodzaje-rodzimych-drzew-i-krzewow-wykorzystywanych-do-zalesienia</w:t>
        </w:r>
      </w:hyperlink>
    </w:p>
  </w:footnote>
  <w:footnote w:id="7">
    <w:p w14:paraId="04442931" w14:textId="77777777" w:rsidR="008F3DBA" w:rsidRDefault="008F3DBA"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8F3DBA" w:rsidRDefault="008F3DBA"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8F3DBA" w:rsidRDefault="008F3DBA"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8F3DBA" w:rsidRDefault="008F3DBA"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8F3DBA" w:rsidRDefault="008F3DBA"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8F3DBA" w:rsidRDefault="008F3DBA"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8F3DBA" w:rsidDel="004257EB" w:rsidRDefault="008F3DBA"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8F3DBA" w:rsidRDefault="008F3DBA"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8F3DBA" w:rsidRDefault="008F3DBA"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8F3DBA" w:rsidRDefault="008F3DBA"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8F3DBA" w:rsidRDefault="008F3DBA"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8F3DBA" w:rsidRDefault="008F3DBA"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8F3DBA" w:rsidRDefault="008F3DBA"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0"/>
    <w:multiLevelType w:val="hybridMultilevel"/>
    <w:tmpl w:val="34608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837670"/>
    <w:multiLevelType w:val="hybridMultilevel"/>
    <w:tmpl w:val="056684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B961F62"/>
    <w:multiLevelType w:val="hybridMultilevel"/>
    <w:tmpl w:val="2EF60A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3565E"/>
    <w:multiLevelType w:val="hybridMultilevel"/>
    <w:tmpl w:val="9C5E5DA2"/>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60D05"/>
    <w:multiLevelType w:val="hybridMultilevel"/>
    <w:tmpl w:val="0F22F9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D3FE1"/>
    <w:multiLevelType w:val="hybridMultilevel"/>
    <w:tmpl w:val="210059E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E3261"/>
    <w:multiLevelType w:val="hybridMultilevel"/>
    <w:tmpl w:val="53788202"/>
    <w:lvl w:ilvl="0" w:tplc="70A272F4">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3"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46C7404"/>
    <w:multiLevelType w:val="hybridMultilevel"/>
    <w:tmpl w:val="0388D846"/>
    <w:lvl w:ilvl="0" w:tplc="04150001">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1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3568C2"/>
    <w:multiLevelType w:val="hybridMultilevel"/>
    <w:tmpl w:val="D0247306"/>
    <w:lvl w:ilvl="0" w:tplc="0734C98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D16450C"/>
    <w:multiLevelType w:val="hybridMultilevel"/>
    <w:tmpl w:val="2A2EAC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1547056"/>
    <w:multiLevelType w:val="hybridMultilevel"/>
    <w:tmpl w:val="B740A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AF3913"/>
    <w:multiLevelType w:val="hybridMultilevel"/>
    <w:tmpl w:val="A7E0CB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48CB550A"/>
    <w:multiLevelType w:val="hybridMultilevel"/>
    <w:tmpl w:val="51AA7046"/>
    <w:lvl w:ilvl="0" w:tplc="04150001">
      <w:start w:val="1"/>
      <w:numFmt w:val="bullet"/>
      <w:lvlText w:val=""/>
      <w:lvlJc w:val="left"/>
      <w:pPr>
        <w:ind w:left="1096" w:hanging="360"/>
      </w:pPr>
      <w:rPr>
        <w:rFonts w:ascii="Symbol" w:hAnsi="Symbol"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34" w15:restartNumberingAfterBreak="0">
    <w:nsid w:val="4ABA0C7F"/>
    <w:multiLevelType w:val="hybridMultilevel"/>
    <w:tmpl w:val="10500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0" w15:restartNumberingAfterBreak="0">
    <w:nsid w:val="53BF02DF"/>
    <w:multiLevelType w:val="hybridMultilevel"/>
    <w:tmpl w:val="530660C0"/>
    <w:lvl w:ilvl="0" w:tplc="36D2981C">
      <w:start w:val="1"/>
      <w:numFmt w:val="bullet"/>
      <w:lvlText w:val=""/>
      <w:lvlJc w:val="left"/>
      <w:pPr>
        <w:ind w:left="1033" w:hanging="360"/>
      </w:pPr>
      <w:rPr>
        <w:rFonts w:ascii="Symbol" w:hAnsi="Symbol" w:hint="default"/>
        <w:color w:val="auto"/>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4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9C062B9"/>
    <w:multiLevelType w:val="hybridMultilevel"/>
    <w:tmpl w:val="BF941E7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4" w15:restartNumberingAfterBreak="0">
    <w:nsid w:val="60433942"/>
    <w:multiLevelType w:val="hybridMultilevel"/>
    <w:tmpl w:val="CDFCC3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0A029A9"/>
    <w:multiLevelType w:val="hybridMultilevel"/>
    <w:tmpl w:val="FCC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3D5478"/>
    <w:multiLevelType w:val="hybridMultilevel"/>
    <w:tmpl w:val="8540879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7D64685"/>
    <w:multiLevelType w:val="hybridMultilevel"/>
    <w:tmpl w:val="A4FCCE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 w15:restartNumberingAfterBreak="0">
    <w:nsid w:val="682804D5"/>
    <w:multiLevelType w:val="hybridMultilevel"/>
    <w:tmpl w:val="2CB2FF9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5B639C"/>
    <w:multiLevelType w:val="hybridMultilevel"/>
    <w:tmpl w:val="D2A477B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C622899"/>
    <w:multiLevelType w:val="hybridMultilevel"/>
    <w:tmpl w:val="F5AA25D8"/>
    <w:lvl w:ilvl="0" w:tplc="63D8E2A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FBB38D1"/>
    <w:multiLevelType w:val="hybridMultilevel"/>
    <w:tmpl w:val="B6E64586"/>
    <w:lvl w:ilvl="0" w:tplc="60749F0E">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9101C2A"/>
    <w:multiLevelType w:val="hybridMultilevel"/>
    <w:tmpl w:val="F550A5D2"/>
    <w:lvl w:ilvl="0" w:tplc="089809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D0211A2"/>
    <w:multiLevelType w:val="hybridMultilevel"/>
    <w:tmpl w:val="4F9A3674"/>
    <w:lvl w:ilvl="0" w:tplc="60749F0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6"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F1D5B7B"/>
    <w:multiLevelType w:val="hybridMultilevel"/>
    <w:tmpl w:val="8FF08E2C"/>
    <w:lvl w:ilvl="0" w:tplc="D65037A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5"/>
  </w:num>
  <w:num w:numId="2">
    <w:abstractNumId w:val="9"/>
  </w:num>
  <w:num w:numId="3">
    <w:abstractNumId w:val="22"/>
  </w:num>
  <w:num w:numId="4">
    <w:abstractNumId w:val="1"/>
  </w:num>
  <w:num w:numId="5">
    <w:abstractNumId w:val="59"/>
  </w:num>
  <w:num w:numId="6">
    <w:abstractNumId w:val="64"/>
  </w:num>
  <w:num w:numId="7">
    <w:abstractNumId w:val="41"/>
  </w:num>
  <w:num w:numId="8">
    <w:abstractNumId w:val="23"/>
  </w:num>
  <w:num w:numId="9">
    <w:abstractNumId w:val="56"/>
  </w:num>
  <w:num w:numId="10">
    <w:abstractNumId w:val="28"/>
  </w:num>
  <w:num w:numId="11">
    <w:abstractNumId w:val="36"/>
  </w:num>
  <w:num w:numId="12">
    <w:abstractNumId w:val="67"/>
  </w:num>
  <w:num w:numId="13">
    <w:abstractNumId w:val="25"/>
  </w:num>
  <w:num w:numId="14">
    <w:abstractNumId w:val="55"/>
  </w:num>
  <w:num w:numId="15">
    <w:abstractNumId w:val="5"/>
  </w:num>
  <w:num w:numId="16">
    <w:abstractNumId w:val="54"/>
  </w:num>
  <w:num w:numId="17">
    <w:abstractNumId w:val="20"/>
  </w:num>
  <w:num w:numId="18">
    <w:abstractNumId w:val="16"/>
  </w:num>
  <w:num w:numId="19">
    <w:abstractNumId w:val="21"/>
  </w:num>
  <w:num w:numId="20">
    <w:abstractNumId w:val="17"/>
  </w:num>
  <w:num w:numId="21">
    <w:abstractNumId w:val="47"/>
  </w:num>
  <w:num w:numId="22">
    <w:abstractNumId w:val="26"/>
  </w:num>
  <w:num w:numId="23">
    <w:abstractNumId w:val="10"/>
  </w:num>
  <w:num w:numId="24">
    <w:abstractNumId w:val="18"/>
  </w:num>
  <w:num w:numId="25">
    <w:abstractNumId w:val="37"/>
  </w:num>
  <w:num w:numId="26">
    <w:abstractNumId w:val="13"/>
  </w:num>
  <w:num w:numId="27">
    <w:abstractNumId w:val="58"/>
  </w:num>
  <w:num w:numId="28">
    <w:abstractNumId w:val="14"/>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69"/>
  </w:num>
  <w:num w:numId="32">
    <w:abstractNumId w:val="29"/>
  </w:num>
  <w:num w:numId="33">
    <w:abstractNumId w:val="31"/>
  </w:num>
  <w:num w:numId="34">
    <w:abstractNumId w:val="61"/>
  </w:num>
  <w:num w:numId="35">
    <w:abstractNumId w:val="43"/>
  </w:num>
  <w:num w:numId="36">
    <w:abstractNumId w:val="57"/>
  </w:num>
  <w:num w:numId="37">
    <w:abstractNumId w:val="6"/>
  </w:num>
  <w:num w:numId="38">
    <w:abstractNumId w:val="60"/>
  </w:num>
  <w:num w:numId="39">
    <w:abstractNumId w:val="8"/>
  </w:num>
  <w:num w:numId="40">
    <w:abstractNumId w:val="51"/>
  </w:num>
  <w:num w:numId="41">
    <w:abstractNumId w:val="48"/>
  </w:num>
  <w:num w:numId="42">
    <w:abstractNumId w:val="65"/>
  </w:num>
  <w:num w:numId="43">
    <w:abstractNumId w:val="46"/>
  </w:num>
  <w:num w:numId="44">
    <w:abstractNumId w:val="52"/>
  </w:num>
  <w:num w:numId="45">
    <w:abstractNumId w:val="63"/>
  </w:num>
  <w:num w:numId="46">
    <w:abstractNumId w:val="53"/>
  </w:num>
  <w:num w:numId="47">
    <w:abstractNumId w:val="40"/>
  </w:num>
  <w:num w:numId="48">
    <w:abstractNumId w:val="42"/>
  </w:num>
  <w:num w:numId="49">
    <w:abstractNumId w:val="45"/>
  </w:num>
  <w:num w:numId="50">
    <w:abstractNumId w:val="66"/>
  </w:num>
  <w:num w:numId="51">
    <w:abstractNumId w:val="2"/>
  </w:num>
  <w:num w:numId="52">
    <w:abstractNumId w:val="68"/>
  </w:num>
  <w:num w:numId="53">
    <w:abstractNumId w:val="30"/>
  </w:num>
  <w:num w:numId="54">
    <w:abstractNumId w:val="24"/>
  </w:num>
  <w:num w:numId="55">
    <w:abstractNumId w:val="4"/>
  </w:num>
  <w:num w:numId="56">
    <w:abstractNumId w:val="7"/>
  </w:num>
  <w:num w:numId="57">
    <w:abstractNumId w:val="50"/>
  </w:num>
  <w:num w:numId="58">
    <w:abstractNumId w:val="19"/>
  </w:num>
  <w:num w:numId="59">
    <w:abstractNumId w:val="62"/>
  </w:num>
  <w:num w:numId="60">
    <w:abstractNumId w:val="0"/>
  </w:num>
  <w:num w:numId="61">
    <w:abstractNumId w:val="33"/>
  </w:num>
  <w:num w:numId="62">
    <w:abstractNumId w:val="15"/>
  </w:num>
  <w:num w:numId="63">
    <w:abstractNumId w:val="12"/>
  </w:num>
  <w:num w:numId="64">
    <w:abstractNumId w:val="11"/>
  </w:num>
  <w:num w:numId="65">
    <w:abstractNumId w:val="44"/>
  </w:num>
  <w:num w:numId="66">
    <w:abstractNumId w:val="27"/>
  </w:num>
  <w:num w:numId="67">
    <w:abstractNumId w:val="34"/>
  </w:num>
  <w:num w:numId="68">
    <w:abstractNumId w:val="38"/>
  </w:num>
  <w:num w:numId="69">
    <w:abstractNumId w:val="39"/>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3C29"/>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609"/>
    <w:rsid w:val="00097C70"/>
    <w:rsid w:val="000A2128"/>
    <w:rsid w:val="000A2F54"/>
    <w:rsid w:val="000A4B6F"/>
    <w:rsid w:val="000A5B75"/>
    <w:rsid w:val="000A7924"/>
    <w:rsid w:val="000B1DB2"/>
    <w:rsid w:val="000B5E2C"/>
    <w:rsid w:val="000C122A"/>
    <w:rsid w:val="000D510E"/>
    <w:rsid w:val="000E152C"/>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650"/>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3D1B"/>
    <w:rsid w:val="0023537A"/>
    <w:rsid w:val="00235D10"/>
    <w:rsid w:val="00240B9A"/>
    <w:rsid w:val="00242042"/>
    <w:rsid w:val="00242D45"/>
    <w:rsid w:val="00244406"/>
    <w:rsid w:val="00245874"/>
    <w:rsid w:val="00246BF9"/>
    <w:rsid w:val="0025080F"/>
    <w:rsid w:val="0025490B"/>
    <w:rsid w:val="00255F7F"/>
    <w:rsid w:val="00257FA9"/>
    <w:rsid w:val="00265DAB"/>
    <w:rsid w:val="002663AA"/>
    <w:rsid w:val="002673FE"/>
    <w:rsid w:val="002679F9"/>
    <w:rsid w:val="002766BD"/>
    <w:rsid w:val="0028757D"/>
    <w:rsid w:val="0029046A"/>
    <w:rsid w:val="002912BA"/>
    <w:rsid w:val="002919AC"/>
    <w:rsid w:val="002956FF"/>
    <w:rsid w:val="00295D06"/>
    <w:rsid w:val="002A1218"/>
    <w:rsid w:val="002A353B"/>
    <w:rsid w:val="002A62E2"/>
    <w:rsid w:val="002B0A5D"/>
    <w:rsid w:val="002B0D3D"/>
    <w:rsid w:val="002B1097"/>
    <w:rsid w:val="002C180B"/>
    <w:rsid w:val="002D1093"/>
    <w:rsid w:val="002D3ABC"/>
    <w:rsid w:val="002D3DFB"/>
    <w:rsid w:val="002D65DA"/>
    <w:rsid w:val="002E3A0C"/>
    <w:rsid w:val="002E42E5"/>
    <w:rsid w:val="002E7070"/>
    <w:rsid w:val="002E72A5"/>
    <w:rsid w:val="002F014C"/>
    <w:rsid w:val="002F2D70"/>
    <w:rsid w:val="003211B3"/>
    <w:rsid w:val="00327AF4"/>
    <w:rsid w:val="003314FD"/>
    <w:rsid w:val="00332248"/>
    <w:rsid w:val="0033421C"/>
    <w:rsid w:val="0033574F"/>
    <w:rsid w:val="00337931"/>
    <w:rsid w:val="00337F14"/>
    <w:rsid w:val="0035114E"/>
    <w:rsid w:val="00357684"/>
    <w:rsid w:val="003576A5"/>
    <w:rsid w:val="00362733"/>
    <w:rsid w:val="00374916"/>
    <w:rsid w:val="00375416"/>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C77C8"/>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608CD"/>
    <w:rsid w:val="004669BB"/>
    <w:rsid w:val="00466FF5"/>
    <w:rsid w:val="00473E1B"/>
    <w:rsid w:val="00476371"/>
    <w:rsid w:val="00477555"/>
    <w:rsid w:val="00477EBA"/>
    <w:rsid w:val="0048295C"/>
    <w:rsid w:val="00493D45"/>
    <w:rsid w:val="00493DD3"/>
    <w:rsid w:val="00497079"/>
    <w:rsid w:val="004A2022"/>
    <w:rsid w:val="004A535C"/>
    <w:rsid w:val="004A59B1"/>
    <w:rsid w:val="004A64A1"/>
    <w:rsid w:val="004A66E5"/>
    <w:rsid w:val="004A7755"/>
    <w:rsid w:val="004B4093"/>
    <w:rsid w:val="004B4680"/>
    <w:rsid w:val="004C38E7"/>
    <w:rsid w:val="004C3E9B"/>
    <w:rsid w:val="004C4D2C"/>
    <w:rsid w:val="004D02C5"/>
    <w:rsid w:val="004D1DE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4369B"/>
    <w:rsid w:val="0055583A"/>
    <w:rsid w:val="00561BCA"/>
    <w:rsid w:val="00571333"/>
    <w:rsid w:val="00572DBA"/>
    <w:rsid w:val="005735B4"/>
    <w:rsid w:val="00574EAB"/>
    <w:rsid w:val="0057612C"/>
    <w:rsid w:val="0057674A"/>
    <w:rsid w:val="005905DE"/>
    <w:rsid w:val="00591312"/>
    <w:rsid w:val="00593BAD"/>
    <w:rsid w:val="0059610E"/>
    <w:rsid w:val="005A6AD2"/>
    <w:rsid w:val="005A6B8F"/>
    <w:rsid w:val="005B2393"/>
    <w:rsid w:val="005B2C94"/>
    <w:rsid w:val="005B6E73"/>
    <w:rsid w:val="005B7836"/>
    <w:rsid w:val="005C060E"/>
    <w:rsid w:val="005C5B21"/>
    <w:rsid w:val="005D173B"/>
    <w:rsid w:val="005D28EE"/>
    <w:rsid w:val="005D4322"/>
    <w:rsid w:val="005D578A"/>
    <w:rsid w:val="005E1180"/>
    <w:rsid w:val="005E458A"/>
    <w:rsid w:val="005F3214"/>
    <w:rsid w:val="005F4CBB"/>
    <w:rsid w:val="005F6FA2"/>
    <w:rsid w:val="00600A58"/>
    <w:rsid w:val="00600EC1"/>
    <w:rsid w:val="00614D70"/>
    <w:rsid w:val="006169BC"/>
    <w:rsid w:val="00621CE4"/>
    <w:rsid w:val="00630642"/>
    <w:rsid w:val="006422A5"/>
    <w:rsid w:val="00643C09"/>
    <w:rsid w:val="00643DD2"/>
    <w:rsid w:val="00646DC7"/>
    <w:rsid w:val="006477E9"/>
    <w:rsid w:val="00656B36"/>
    <w:rsid w:val="00656FDF"/>
    <w:rsid w:val="0066072E"/>
    <w:rsid w:val="006626FC"/>
    <w:rsid w:val="0066289B"/>
    <w:rsid w:val="006640AE"/>
    <w:rsid w:val="00664305"/>
    <w:rsid w:val="00666877"/>
    <w:rsid w:val="00673310"/>
    <w:rsid w:val="00674A45"/>
    <w:rsid w:val="00674AD3"/>
    <w:rsid w:val="0067584F"/>
    <w:rsid w:val="0067620E"/>
    <w:rsid w:val="006835B0"/>
    <w:rsid w:val="00685A2F"/>
    <w:rsid w:val="00690D60"/>
    <w:rsid w:val="006926A6"/>
    <w:rsid w:val="00693285"/>
    <w:rsid w:val="00694292"/>
    <w:rsid w:val="00694823"/>
    <w:rsid w:val="006A20E6"/>
    <w:rsid w:val="006A2322"/>
    <w:rsid w:val="006A3070"/>
    <w:rsid w:val="006B2FC2"/>
    <w:rsid w:val="006B5E07"/>
    <w:rsid w:val="006B6EA2"/>
    <w:rsid w:val="006B7A21"/>
    <w:rsid w:val="006C1BDF"/>
    <w:rsid w:val="006C2D9E"/>
    <w:rsid w:val="006C306C"/>
    <w:rsid w:val="006C5821"/>
    <w:rsid w:val="006C64A4"/>
    <w:rsid w:val="006C74F1"/>
    <w:rsid w:val="006D32E1"/>
    <w:rsid w:val="006D45CF"/>
    <w:rsid w:val="006E5D40"/>
    <w:rsid w:val="006F2DBA"/>
    <w:rsid w:val="006F63FD"/>
    <w:rsid w:val="006F7018"/>
    <w:rsid w:val="006F752A"/>
    <w:rsid w:val="006F7B90"/>
    <w:rsid w:val="00702001"/>
    <w:rsid w:val="00707E58"/>
    <w:rsid w:val="00712516"/>
    <w:rsid w:val="00715EC1"/>
    <w:rsid w:val="00722711"/>
    <w:rsid w:val="0072593F"/>
    <w:rsid w:val="00730264"/>
    <w:rsid w:val="0073649C"/>
    <w:rsid w:val="00750297"/>
    <w:rsid w:val="007566F3"/>
    <w:rsid w:val="00767703"/>
    <w:rsid w:val="007749C3"/>
    <w:rsid w:val="00776031"/>
    <w:rsid w:val="007855C3"/>
    <w:rsid w:val="007856B8"/>
    <w:rsid w:val="00792CDD"/>
    <w:rsid w:val="007A1BA4"/>
    <w:rsid w:val="007A2332"/>
    <w:rsid w:val="007A6331"/>
    <w:rsid w:val="007B1854"/>
    <w:rsid w:val="007B4278"/>
    <w:rsid w:val="007B67D8"/>
    <w:rsid w:val="007C70C4"/>
    <w:rsid w:val="007C74F1"/>
    <w:rsid w:val="007D019B"/>
    <w:rsid w:val="007D1DDD"/>
    <w:rsid w:val="007D51C0"/>
    <w:rsid w:val="007E2634"/>
    <w:rsid w:val="007E2C42"/>
    <w:rsid w:val="007E3E8F"/>
    <w:rsid w:val="007E405D"/>
    <w:rsid w:val="007E56C3"/>
    <w:rsid w:val="007F0DD2"/>
    <w:rsid w:val="007F351A"/>
    <w:rsid w:val="007F3622"/>
    <w:rsid w:val="007F4289"/>
    <w:rsid w:val="007F62CC"/>
    <w:rsid w:val="007F6419"/>
    <w:rsid w:val="00800090"/>
    <w:rsid w:val="00800168"/>
    <w:rsid w:val="00800A2D"/>
    <w:rsid w:val="00800E6F"/>
    <w:rsid w:val="0081423B"/>
    <w:rsid w:val="00832F0B"/>
    <w:rsid w:val="00833A73"/>
    <w:rsid w:val="0083644B"/>
    <w:rsid w:val="00841613"/>
    <w:rsid w:val="008516CD"/>
    <w:rsid w:val="00853728"/>
    <w:rsid w:val="00856989"/>
    <w:rsid w:val="00856C12"/>
    <w:rsid w:val="00861799"/>
    <w:rsid w:val="008639C8"/>
    <w:rsid w:val="00867D29"/>
    <w:rsid w:val="00871CD6"/>
    <w:rsid w:val="008774D5"/>
    <w:rsid w:val="008802D9"/>
    <w:rsid w:val="00880773"/>
    <w:rsid w:val="0088127D"/>
    <w:rsid w:val="00881A60"/>
    <w:rsid w:val="0088541A"/>
    <w:rsid w:val="0089403E"/>
    <w:rsid w:val="00895BC8"/>
    <w:rsid w:val="00895FEF"/>
    <w:rsid w:val="00897768"/>
    <w:rsid w:val="008A1C16"/>
    <w:rsid w:val="008A46B4"/>
    <w:rsid w:val="008A4B3C"/>
    <w:rsid w:val="008A5709"/>
    <w:rsid w:val="008B0AA0"/>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8F3DBA"/>
    <w:rsid w:val="00906DBB"/>
    <w:rsid w:val="0091491F"/>
    <w:rsid w:val="00917226"/>
    <w:rsid w:val="00923DE8"/>
    <w:rsid w:val="009257A1"/>
    <w:rsid w:val="00932442"/>
    <w:rsid w:val="009355E4"/>
    <w:rsid w:val="009358E2"/>
    <w:rsid w:val="00935F4B"/>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B3126"/>
    <w:rsid w:val="009B52F9"/>
    <w:rsid w:val="009C7412"/>
    <w:rsid w:val="009D2408"/>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5B57"/>
    <w:rsid w:val="00A856BB"/>
    <w:rsid w:val="00A873D0"/>
    <w:rsid w:val="00A94027"/>
    <w:rsid w:val="00A9492E"/>
    <w:rsid w:val="00AA69A3"/>
    <w:rsid w:val="00AB6D57"/>
    <w:rsid w:val="00AB7278"/>
    <w:rsid w:val="00AC120C"/>
    <w:rsid w:val="00AC1BD3"/>
    <w:rsid w:val="00AC26D4"/>
    <w:rsid w:val="00AD1E5D"/>
    <w:rsid w:val="00AD23B8"/>
    <w:rsid w:val="00AD24C8"/>
    <w:rsid w:val="00AD35D0"/>
    <w:rsid w:val="00AD4374"/>
    <w:rsid w:val="00AD5EE0"/>
    <w:rsid w:val="00AD7AAB"/>
    <w:rsid w:val="00AE2AC3"/>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3F16"/>
    <w:rsid w:val="00B84E21"/>
    <w:rsid w:val="00B91584"/>
    <w:rsid w:val="00B9275A"/>
    <w:rsid w:val="00B94565"/>
    <w:rsid w:val="00B94E5C"/>
    <w:rsid w:val="00B971D9"/>
    <w:rsid w:val="00BA723A"/>
    <w:rsid w:val="00BB05DA"/>
    <w:rsid w:val="00BB29BE"/>
    <w:rsid w:val="00BB6DA4"/>
    <w:rsid w:val="00BB7B24"/>
    <w:rsid w:val="00BC0974"/>
    <w:rsid w:val="00BC1354"/>
    <w:rsid w:val="00BC35AE"/>
    <w:rsid w:val="00BC5463"/>
    <w:rsid w:val="00BC6AD9"/>
    <w:rsid w:val="00BC6CBC"/>
    <w:rsid w:val="00BD1C3F"/>
    <w:rsid w:val="00BE09A6"/>
    <w:rsid w:val="00BE1E53"/>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2B39"/>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1BE3"/>
    <w:rsid w:val="00CF4080"/>
    <w:rsid w:val="00D00985"/>
    <w:rsid w:val="00D00E5A"/>
    <w:rsid w:val="00D03A1B"/>
    <w:rsid w:val="00D05AB2"/>
    <w:rsid w:val="00D062E4"/>
    <w:rsid w:val="00D12185"/>
    <w:rsid w:val="00D15FD3"/>
    <w:rsid w:val="00D16D8D"/>
    <w:rsid w:val="00D2104C"/>
    <w:rsid w:val="00D242CA"/>
    <w:rsid w:val="00D25CEF"/>
    <w:rsid w:val="00D273B0"/>
    <w:rsid w:val="00D27859"/>
    <w:rsid w:val="00D32C9C"/>
    <w:rsid w:val="00D33168"/>
    <w:rsid w:val="00D3617A"/>
    <w:rsid w:val="00D37399"/>
    <w:rsid w:val="00D43427"/>
    <w:rsid w:val="00D45FB7"/>
    <w:rsid w:val="00D5215E"/>
    <w:rsid w:val="00D5498D"/>
    <w:rsid w:val="00D62787"/>
    <w:rsid w:val="00D62B84"/>
    <w:rsid w:val="00D70D6F"/>
    <w:rsid w:val="00D728F0"/>
    <w:rsid w:val="00D730C4"/>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1352B"/>
    <w:rsid w:val="00E143DE"/>
    <w:rsid w:val="00E21B4E"/>
    <w:rsid w:val="00E22A80"/>
    <w:rsid w:val="00E23E42"/>
    <w:rsid w:val="00E256A2"/>
    <w:rsid w:val="00E26A9C"/>
    <w:rsid w:val="00E27FB4"/>
    <w:rsid w:val="00E30B04"/>
    <w:rsid w:val="00E4046D"/>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2312"/>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69C5"/>
    <w:rsid w:val="00F976F5"/>
    <w:rsid w:val="00F97B71"/>
    <w:rsid w:val="00FA041D"/>
    <w:rsid w:val="00FA6FE9"/>
    <w:rsid w:val="00FB0007"/>
    <w:rsid w:val="00FB2E6E"/>
    <w:rsid w:val="00FB41AE"/>
    <w:rsid w:val="00FB44C7"/>
    <w:rsid w:val="00FB4FD2"/>
    <w:rsid w:val="00FC4DAB"/>
    <w:rsid w:val="00FC4DF2"/>
    <w:rsid w:val="00FC5842"/>
    <w:rsid w:val="00FC68D8"/>
    <w:rsid w:val="00FC740A"/>
    <w:rsid w:val="00FD09D1"/>
    <w:rsid w:val="00FD39CE"/>
    <w:rsid w:val="00FD3F6F"/>
    <w:rsid w:val="00FD6C5D"/>
    <w:rsid w:val="00FD71B0"/>
    <w:rsid w:val="00FE7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376248691">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webSettings" Target="webSettings.xml"/><Relationship Id="rId15" Type="http://schemas.openxmlformats.org/officeDocument/2006/relationships/hyperlink" Target="https://uokik.gov.pl/pomoc-publiczna" TargetMode="External"/><Relationship Id="rId10"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gov.pl/web/wody-polskie/potwierdzenie-zgodnosci-z-celami-srodowiskowy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nfosigw/standardy-ochrony-drzew" TargetMode="External"/><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 Id="rId4" Type="http://schemas.openxmlformats.org/officeDocument/2006/relationships/hyperlink" Target="https://www.gov.pl/web/arimr/gatunki-i-rodzaje-rodzimych-drzew-i-krzewow-wykorzystywanych-do-zales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38E2-608A-400E-BE37-44D05DBD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13399</Words>
  <Characters>80399</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93611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2025-02-28T13:06:00Z</dcterms:created>
  <dcterms:modified xsi:type="dcterms:W3CDTF">2025-02-28T13:17:00Z</dcterms:modified>
</cp:coreProperties>
</file>