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4875972F" w14:textId="40CF9C25" w:rsidR="00366D64" w:rsidRDefault="00366D64" w:rsidP="00366D64">
      <w:pPr>
        <w:spacing w:after="0" w:line="276" w:lineRule="auto"/>
        <w:ind w:left="708"/>
        <w:jc w:val="right"/>
        <w:rPr>
          <w:rFonts w:ascii="Arial" w:hAnsi="Arial" w:cs="Arial"/>
          <w:sz w:val="18"/>
          <w:szCs w:val="18"/>
          <w:lang w:eastAsia="zh-CN"/>
        </w:rPr>
      </w:pPr>
      <w:r>
        <w:rPr>
          <w:rFonts w:ascii="Arial" w:hAnsi="Arial" w:cs="Arial"/>
          <w:sz w:val="18"/>
          <w:szCs w:val="18"/>
          <w:lang w:eastAsia="zh-CN"/>
        </w:rPr>
        <w:t>Załącznik nr 2</w:t>
      </w:r>
    </w:p>
    <w:p w14:paraId="6235B2B9" w14:textId="7F408860" w:rsidR="00366D64" w:rsidRDefault="00366D64" w:rsidP="00366D64">
      <w:pPr>
        <w:spacing w:after="0" w:line="276" w:lineRule="auto"/>
        <w:ind w:left="708"/>
        <w:jc w:val="right"/>
        <w:rPr>
          <w:rFonts w:ascii="Arial" w:hAnsi="Arial" w:cs="Arial"/>
          <w:sz w:val="18"/>
          <w:szCs w:val="18"/>
          <w:lang w:eastAsia="zh-CN"/>
        </w:rPr>
      </w:pPr>
      <w:r>
        <w:rPr>
          <w:rFonts w:ascii="Arial" w:hAnsi="Arial" w:cs="Arial"/>
          <w:sz w:val="18"/>
          <w:szCs w:val="18"/>
          <w:lang w:eastAsia="zh-CN"/>
        </w:rPr>
        <w:t xml:space="preserve">do Uchwały Nr </w:t>
      </w:r>
      <w:r w:rsidR="00663C86">
        <w:rPr>
          <w:rFonts w:ascii="Arial" w:hAnsi="Arial" w:cs="Arial"/>
          <w:sz w:val="18"/>
          <w:szCs w:val="18"/>
          <w:lang w:eastAsia="zh-CN"/>
        </w:rPr>
        <w:t>1298</w:t>
      </w:r>
      <w:r>
        <w:rPr>
          <w:rFonts w:ascii="Arial" w:hAnsi="Arial" w:cs="Arial"/>
          <w:sz w:val="18"/>
          <w:szCs w:val="18"/>
          <w:lang w:eastAsia="zh-CN"/>
        </w:rPr>
        <w:t xml:space="preserve">/25 </w:t>
      </w:r>
      <w:r w:rsidRPr="00565119">
        <w:rPr>
          <w:rFonts w:ascii="Arial" w:hAnsi="Arial" w:cs="Arial"/>
          <w:iCs/>
          <w:sz w:val="18"/>
          <w:szCs w:val="18"/>
          <w:lang w:eastAsia="zh-CN"/>
        </w:rPr>
        <w:t>Zarządu Województwa Małopolskiego</w:t>
      </w:r>
    </w:p>
    <w:p w14:paraId="41165C71" w14:textId="157A8B87" w:rsidR="00366D64" w:rsidRDefault="00366D64" w:rsidP="00366D64">
      <w:pPr>
        <w:spacing w:after="240" w:line="276" w:lineRule="auto"/>
        <w:ind w:left="709"/>
        <w:jc w:val="right"/>
        <w:rPr>
          <w:rFonts w:ascii="Arial" w:hAnsi="Arial" w:cs="Arial"/>
          <w:sz w:val="18"/>
          <w:szCs w:val="18"/>
          <w:lang w:eastAsia="zh-CN"/>
        </w:rPr>
      </w:pPr>
      <w:r>
        <w:rPr>
          <w:rFonts w:ascii="Arial" w:hAnsi="Arial" w:cs="Arial"/>
          <w:sz w:val="18"/>
          <w:szCs w:val="18"/>
          <w:lang w:eastAsia="zh-CN"/>
        </w:rPr>
        <w:t xml:space="preserve">z dnia </w:t>
      </w:r>
      <w:r w:rsidR="00663C86">
        <w:rPr>
          <w:rFonts w:ascii="Arial" w:hAnsi="Arial" w:cs="Arial"/>
          <w:sz w:val="18"/>
          <w:szCs w:val="18"/>
          <w:lang w:eastAsia="zh-CN"/>
        </w:rPr>
        <w:t>3</w:t>
      </w:r>
      <w:bookmarkStart w:id="0" w:name="_GoBack"/>
      <w:bookmarkEnd w:id="0"/>
      <w:r>
        <w:rPr>
          <w:rFonts w:ascii="Arial" w:hAnsi="Arial" w:cs="Arial"/>
          <w:sz w:val="18"/>
          <w:szCs w:val="18"/>
          <w:lang w:eastAsia="zh-CN"/>
        </w:rPr>
        <w:t xml:space="preserve"> czerwca 2025 r.</w:t>
      </w:r>
    </w:p>
    <w:p w14:paraId="041B1232" w14:textId="598214A6"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CF7DD1" w:rsidRPr="00CF7DD1">
        <w:rPr>
          <w:rFonts w:ascii="Arial" w:eastAsia="Times New Roman" w:hAnsi="Arial" w:cs="Arial"/>
          <w:iCs/>
          <w:sz w:val="20"/>
          <w:szCs w:val="20"/>
          <w:lang w:eastAsia="ar-SA"/>
        </w:rPr>
        <w:t>FEMP.08.10-IZ.00-056/25</w:t>
      </w:r>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r w:rsidRPr="004B0442">
              <w:rPr>
                <w:rFonts w:ascii="Arial" w:eastAsia="Times New Roman" w:hAnsi="Arial" w:cs="Arial"/>
                <w:b/>
                <w:iCs/>
                <w:sz w:val="24"/>
                <w:szCs w:val="24"/>
                <w:lang w:eastAsia="ar-SA"/>
              </w:rPr>
              <w:t>:</w:t>
            </w:r>
          </w:p>
        </w:tc>
      </w:tr>
      <w:tr w:rsidR="00DA18B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3052D4B8" w14:textId="4750D311" w:rsidR="00AF3D39" w:rsidRPr="00AF3D39" w:rsidRDefault="00AF3D39" w:rsidP="00AF3D39">
            <w:pPr>
              <w:spacing w:after="120" w:line="276" w:lineRule="auto"/>
              <w:rPr>
                <w:rFonts w:ascii="Arial" w:eastAsia="Calibri" w:hAnsi="Arial" w:cs="Arial"/>
                <w:b/>
                <w:bCs/>
                <w:sz w:val="24"/>
                <w:szCs w:val="24"/>
              </w:rPr>
            </w:pPr>
            <w:r w:rsidRPr="00AF3D39">
              <w:rPr>
                <w:rFonts w:ascii="Arial" w:eastAsia="Calibri" w:hAnsi="Arial" w:cs="Arial"/>
                <w:b/>
                <w:bCs/>
                <w:sz w:val="24"/>
                <w:szCs w:val="24"/>
              </w:rPr>
              <w:t xml:space="preserve">Pkt </w:t>
            </w:r>
            <w:r>
              <w:rPr>
                <w:rFonts w:ascii="Arial" w:eastAsia="Calibri" w:hAnsi="Arial" w:cs="Arial"/>
                <w:b/>
                <w:bCs/>
                <w:sz w:val="24"/>
                <w:szCs w:val="24"/>
              </w:rPr>
              <w:t>B.1.4 Opis projektu/ pkt U Informacje specyficzne</w:t>
            </w:r>
          </w:p>
          <w:p w14:paraId="7ED7BB50" w14:textId="3CA97665" w:rsidR="007C0EDB" w:rsidRPr="0092502E" w:rsidRDefault="00AF3D39" w:rsidP="00AF3D39">
            <w:pPr>
              <w:suppressAutoHyphens/>
              <w:spacing w:after="120" w:line="276" w:lineRule="auto"/>
              <w:rPr>
                <w:rFonts w:ascii="Arial" w:eastAsia="Times New Roman" w:hAnsi="Arial" w:cs="Arial"/>
                <w:b/>
                <w:iCs/>
                <w:sz w:val="24"/>
                <w:szCs w:val="24"/>
                <w:lang w:eastAsia="ar-SA"/>
              </w:rPr>
            </w:pPr>
            <w:r>
              <w:rPr>
                <w:rFonts w:ascii="Arial" w:eastAsia="Calibri" w:hAnsi="Arial" w:cs="Arial"/>
                <w:bCs/>
                <w:sz w:val="24"/>
                <w:szCs w:val="24"/>
              </w:rPr>
              <w:t xml:space="preserve">Należy wskazać czy projekt </w:t>
            </w:r>
            <w:r w:rsidRPr="00AF3D39">
              <w:rPr>
                <w:rFonts w:ascii="Arial" w:eastAsia="Calibri" w:hAnsi="Arial" w:cs="Arial"/>
                <w:bCs/>
                <w:sz w:val="24"/>
                <w:szCs w:val="24"/>
              </w:rPr>
              <w:t>wpływa na zmniejszenie zużycia zasobów</w:t>
            </w:r>
            <w:r w:rsidR="00630AC0">
              <w:rPr>
                <w:rFonts w:ascii="Arial" w:eastAsia="Calibri" w:hAnsi="Arial" w:cs="Arial"/>
                <w:bCs/>
                <w:sz w:val="24"/>
                <w:szCs w:val="24"/>
              </w:rPr>
              <w:t xml:space="preserve"> (realizując jakie działania w projekcie)</w:t>
            </w:r>
            <w:r w:rsidRPr="00AF3D39">
              <w:rPr>
                <w:rFonts w:ascii="Arial" w:eastAsia="Calibri" w:hAnsi="Arial" w:cs="Arial"/>
                <w:bCs/>
                <w:sz w:val="24"/>
                <w:szCs w:val="24"/>
              </w:rPr>
              <w:t>, a przez to na stopniowe przechodzenie z linearnego do cyrkularnego modelu gospodarki.</w:t>
            </w:r>
          </w:p>
        </w:tc>
      </w:tr>
      <w:tr w:rsidR="000D4D9B" w:rsidRPr="003D5A4C" w14:paraId="787EE359"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B2BEB8D" w14:textId="3F903F95" w:rsidR="000D4D9B" w:rsidRPr="00630AC0" w:rsidRDefault="000D4D9B" w:rsidP="000D4D9B">
            <w:pPr>
              <w:spacing w:after="120" w:line="276" w:lineRule="auto"/>
              <w:rPr>
                <w:rFonts w:ascii="Arial" w:eastAsia="Calibri" w:hAnsi="Arial" w:cs="Arial"/>
                <w:b/>
                <w:bCs/>
                <w:sz w:val="24"/>
                <w:szCs w:val="24"/>
              </w:rPr>
            </w:pPr>
            <w:r w:rsidRPr="00630AC0">
              <w:rPr>
                <w:rFonts w:ascii="Arial" w:eastAsia="Calibri" w:hAnsi="Arial" w:cs="Arial"/>
                <w:b/>
                <w:bCs/>
                <w:sz w:val="24"/>
                <w:szCs w:val="24"/>
              </w:rPr>
              <w:t>Pkt B.1.4 Opis projektu/ pkt U Informacje specyficzne</w:t>
            </w:r>
          </w:p>
          <w:p w14:paraId="1BE40714" w14:textId="0ADC8F25" w:rsidR="00630AC0" w:rsidRPr="00630AC0" w:rsidRDefault="00630AC0" w:rsidP="000D4D9B">
            <w:pPr>
              <w:spacing w:after="120" w:line="276" w:lineRule="auto"/>
              <w:rPr>
                <w:rFonts w:ascii="Arial" w:eastAsia="Calibri" w:hAnsi="Arial" w:cs="Arial"/>
                <w:bCs/>
                <w:sz w:val="24"/>
                <w:szCs w:val="24"/>
              </w:rPr>
            </w:pPr>
            <w:r w:rsidRPr="00630AC0">
              <w:rPr>
                <w:rFonts w:ascii="Arial" w:eastAsia="Calibri" w:hAnsi="Arial" w:cs="Arial"/>
                <w:bCs/>
                <w:sz w:val="24"/>
                <w:szCs w:val="24"/>
              </w:rPr>
              <w:t>Należy wskazać i opisać, w które z poniższych zakresów oraz w jaki sposób wpisuje się projekt (poprzez realizację jakich działań):</w:t>
            </w:r>
          </w:p>
          <w:p w14:paraId="0B5A69B3" w14:textId="77777777" w:rsidR="00EA6743" w:rsidRPr="00630AC0" w:rsidRDefault="00EA6743" w:rsidP="00630AC0">
            <w:pPr>
              <w:pStyle w:val="Akapitzlist"/>
              <w:numPr>
                <w:ilvl w:val="0"/>
                <w:numId w:val="34"/>
              </w:numPr>
              <w:suppressAutoHyphens/>
              <w:spacing w:before="120" w:after="120" w:line="276" w:lineRule="auto"/>
              <w:ind w:left="447" w:hanging="425"/>
              <w:contextualSpacing w:val="0"/>
              <w:rPr>
                <w:rFonts w:ascii="Arial" w:hAnsi="Arial" w:cs="Arial"/>
                <w:sz w:val="24"/>
                <w:szCs w:val="24"/>
              </w:rPr>
            </w:pPr>
            <w:r w:rsidRPr="00630AC0">
              <w:rPr>
                <w:rFonts w:ascii="Arial" w:hAnsi="Arial" w:cs="Arial"/>
                <w:b/>
                <w:sz w:val="24"/>
                <w:szCs w:val="24"/>
              </w:rPr>
              <w:t>upowszechnienie podejścia w zakresie GOZ</w:t>
            </w:r>
            <w:r w:rsidRPr="00630AC0">
              <w:rPr>
                <w:rFonts w:ascii="Arial" w:hAnsi="Arial" w:cs="Arial"/>
                <w:sz w:val="24"/>
                <w:szCs w:val="24"/>
              </w:rPr>
              <w:t xml:space="preserve"> m.in.: wdrażanie i promocja eko-projektowania (systematycznego uwzględniania aspektów środowiskowych przy projektowaniu produktu z zamiarem poprawienia charakterystyki oddziaływania, jakie dany produkt wywiera na środowisko przez cały cykl życia), wdrażanie systemów zarządzania środowiskowego EMAS lub ISO 14001;</w:t>
            </w:r>
          </w:p>
          <w:p w14:paraId="2695A8A8" w14:textId="77777777" w:rsidR="00EA6743" w:rsidRPr="00630AC0" w:rsidRDefault="00EA6743" w:rsidP="00630AC0">
            <w:pPr>
              <w:pStyle w:val="Akapitzlist"/>
              <w:numPr>
                <w:ilvl w:val="0"/>
                <w:numId w:val="34"/>
              </w:numPr>
              <w:suppressAutoHyphens/>
              <w:spacing w:before="120" w:after="120" w:line="276" w:lineRule="auto"/>
              <w:ind w:left="447" w:hanging="425"/>
              <w:contextualSpacing w:val="0"/>
              <w:rPr>
                <w:rFonts w:ascii="Arial" w:hAnsi="Arial" w:cs="Arial"/>
                <w:sz w:val="24"/>
                <w:szCs w:val="24"/>
              </w:rPr>
            </w:pPr>
            <w:r w:rsidRPr="00630AC0">
              <w:rPr>
                <w:rFonts w:ascii="Arial" w:hAnsi="Arial" w:cs="Arial"/>
                <w:b/>
                <w:sz w:val="24"/>
                <w:szCs w:val="24"/>
              </w:rPr>
              <w:t>inwestycje w zakresie zapobiegania i ograniczenia powstawania odpadów oraz zmniejszenia zużycia zasobów środowiskowych</w:t>
            </w:r>
            <w:r w:rsidRPr="00630AC0">
              <w:rPr>
                <w:rFonts w:ascii="Arial" w:hAnsi="Arial" w:cs="Arial"/>
                <w:sz w:val="24"/>
                <w:szCs w:val="24"/>
              </w:rPr>
              <w:t xml:space="preserve"> (w tym energii i wody oraz surowców) </w:t>
            </w:r>
            <w:r w:rsidRPr="00630AC0">
              <w:rPr>
                <w:rFonts w:ascii="Arial" w:hAnsi="Arial" w:cs="Arial"/>
                <w:b/>
                <w:sz w:val="24"/>
                <w:szCs w:val="24"/>
              </w:rPr>
              <w:t>w procesach komunalnych</w:t>
            </w:r>
            <w:r w:rsidRPr="00630AC0">
              <w:rPr>
                <w:rFonts w:ascii="Arial" w:hAnsi="Arial" w:cs="Arial"/>
                <w:sz w:val="24"/>
                <w:szCs w:val="24"/>
              </w:rPr>
              <w:t xml:space="preserve"> np. cyrkularny obieg wody – wykorzystanie szarej wody w przemyśle i w gospodarstwach domowych;</w:t>
            </w:r>
          </w:p>
          <w:p w14:paraId="56740A73" w14:textId="77777777" w:rsidR="00EA6743" w:rsidRPr="00630AC0" w:rsidRDefault="00EA6743" w:rsidP="00630AC0">
            <w:pPr>
              <w:pStyle w:val="Akapitzlist"/>
              <w:numPr>
                <w:ilvl w:val="0"/>
                <w:numId w:val="34"/>
              </w:numPr>
              <w:suppressAutoHyphens/>
              <w:spacing w:before="120" w:after="120" w:line="276" w:lineRule="auto"/>
              <w:ind w:left="447" w:hanging="425"/>
              <w:contextualSpacing w:val="0"/>
              <w:rPr>
                <w:rFonts w:ascii="Arial" w:hAnsi="Arial" w:cs="Arial"/>
                <w:sz w:val="24"/>
                <w:szCs w:val="24"/>
              </w:rPr>
            </w:pPr>
            <w:r w:rsidRPr="00630AC0">
              <w:rPr>
                <w:rFonts w:ascii="Arial" w:hAnsi="Arial" w:cs="Arial"/>
                <w:b/>
                <w:sz w:val="24"/>
                <w:szCs w:val="24"/>
              </w:rPr>
              <w:t>inwestycje w zakresie gospodarczego wykorzystania odpadów, ścieków i osadów ściekowych oraz biomasy odpadowej</w:t>
            </w:r>
            <w:r w:rsidRPr="00630AC0">
              <w:rPr>
                <w:rFonts w:ascii="Arial" w:hAnsi="Arial" w:cs="Arial"/>
                <w:sz w:val="24"/>
                <w:szCs w:val="24"/>
              </w:rPr>
              <w:t xml:space="preserve"> np. zastosowanie w przedsiębiorstwach technologii mało i bezodpadowych, zmniejszenie zużycia </w:t>
            </w:r>
            <w:r w:rsidRPr="00630AC0">
              <w:rPr>
                <w:rFonts w:ascii="Arial" w:hAnsi="Arial" w:cs="Arial"/>
                <w:sz w:val="24"/>
                <w:szCs w:val="24"/>
              </w:rPr>
              <w:lastRenderedPageBreak/>
              <w:t>surowców, ponowne wykorzystanie surowców i recykling, w tym upcykling materiałów;</w:t>
            </w:r>
          </w:p>
          <w:p w14:paraId="3CC1BA50" w14:textId="77777777" w:rsidR="00EA6743" w:rsidRPr="00630AC0" w:rsidRDefault="00EA6743" w:rsidP="00630AC0">
            <w:pPr>
              <w:pStyle w:val="Akapitzlist"/>
              <w:numPr>
                <w:ilvl w:val="0"/>
                <w:numId w:val="34"/>
              </w:numPr>
              <w:suppressAutoHyphens/>
              <w:spacing w:before="120" w:after="120" w:line="276" w:lineRule="auto"/>
              <w:ind w:left="447" w:hanging="425"/>
              <w:contextualSpacing w:val="0"/>
              <w:rPr>
                <w:rFonts w:ascii="Arial" w:hAnsi="Arial" w:cs="Arial"/>
                <w:sz w:val="24"/>
                <w:szCs w:val="24"/>
              </w:rPr>
            </w:pPr>
            <w:r w:rsidRPr="00630AC0">
              <w:rPr>
                <w:rFonts w:ascii="Arial" w:hAnsi="Arial" w:cs="Arial"/>
                <w:b/>
                <w:sz w:val="24"/>
                <w:szCs w:val="24"/>
              </w:rPr>
              <w:t>rozwój systemów przetwarzania odpadów zielonych na potrzeby inne niż wytwarzanie energii</w:t>
            </w:r>
            <w:r w:rsidRPr="00630AC0">
              <w:rPr>
                <w:rFonts w:ascii="Arial" w:hAnsi="Arial" w:cs="Arial"/>
                <w:sz w:val="24"/>
                <w:szCs w:val="24"/>
              </w:rPr>
              <w:t>, np. selektywna zbiórka odpadów zielonych w podziale na frakcje ułatwiające ich późniejsze przetworzenie, inwestycje w zakresie przetwarzania odpadów zielonych, upowszechnianie wśród mieszkańców idei przetwarzania odpadów zielonych – jedynie jako element szerszego projektu;</w:t>
            </w:r>
          </w:p>
          <w:p w14:paraId="503E1380" w14:textId="7F3DD93A" w:rsidR="000D4D9B" w:rsidRPr="00630AC0" w:rsidRDefault="00EA6743" w:rsidP="00630AC0">
            <w:pPr>
              <w:pStyle w:val="Akapitzlist"/>
              <w:numPr>
                <w:ilvl w:val="0"/>
                <w:numId w:val="34"/>
              </w:numPr>
              <w:suppressAutoHyphens/>
              <w:spacing w:before="120" w:after="120" w:line="276" w:lineRule="auto"/>
              <w:ind w:left="447" w:hanging="425"/>
              <w:contextualSpacing w:val="0"/>
              <w:rPr>
                <w:rFonts w:ascii="Arial" w:eastAsia="Calibri" w:hAnsi="Arial" w:cs="Arial"/>
                <w:b/>
                <w:bCs/>
                <w:sz w:val="24"/>
                <w:szCs w:val="24"/>
              </w:rPr>
            </w:pPr>
            <w:r w:rsidRPr="00630AC0">
              <w:rPr>
                <w:rFonts w:ascii="Arial" w:hAnsi="Arial" w:cs="Arial"/>
                <w:b/>
                <w:sz w:val="24"/>
                <w:szCs w:val="24"/>
              </w:rPr>
              <w:t>wdrażanie rozwiązań ograniczających konsumpcję</w:t>
            </w:r>
            <w:r w:rsidRPr="00630AC0">
              <w:rPr>
                <w:rFonts w:ascii="Arial" w:hAnsi="Arial" w:cs="Arial"/>
                <w:sz w:val="24"/>
                <w:szCs w:val="24"/>
              </w:rPr>
              <w:t xml:space="preserve"> – np.: punkty napraw, mechanizmy współdzielenia, wymiana dóbr.</w:t>
            </w:r>
            <w:r w:rsidR="00630AC0">
              <w:rPr>
                <w:rFonts w:ascii="Arial" w:hAnsi="Arial" w:cs="Arial"/>
                <w:sz w:val="24"/>
                <w:szCs w:val="24"/>
              </w:rPr>
              <w:t xml:space="preserve"> </w:t>
            </w:r>
          </w:p>
        </w:tc>
      </w:tr>
      <w:tr w:rsidR="00A95EB2" w:rsidRPr="003D5A4C" w14:paraId="1FC704CA" w14:textId="77777777" w:rsidTr="00A95EB2">
        <w:tc>
          <w:tcPr>
            <w:tcW w:w="9062" w:type="dxa"/>
            <w:tcBorders>
              <w:top w:val="single" w:sz="4" w:space="0" w:color="auto"/>
              <w:left w:val="single" w:sz="4" w:space="0" w:color="auto"/>
              <w:bottom w:val="single" w:sz="4" w:space="0" w:color="auto"/>
              <w:right w:val="single" w:sz="4" w:space="0" w:color="auto"/>
            </w:tcBorders>
            <w:shd w:val="clear" w:color="auto" w:fill="auto"/>
          </w:tcPr>
          <w:p w14:paraId="4DD135F9" w14:textId="77777777" w:rsidR="00BC1C8A" w:rsidRPr="00AF3D39" w:rsidRDefault="00BC1C8A" w:rsidP="00BC1C8A">
            <w:pPr>
              <w:spacing w:after="120" w:line="276" w:lineRule="auto"/>
              <w:rPr>
                <w:rFonts w:ascii="Arial" w:eastAsia="Calibri" w:hAnsi="Arial" w:cs="Arial"/>
                <w:b/>
                <w:bCs/>
                <w:sz w:val="24"/>
                <w:szCs w:val="24"/>
              </w:rPr>
            </w:pPr>
            <w:r w:rsidRPr="00AF3D39">
              <w:rPr>
                <w:rFonts w:ascii="Arial" w:eastAsia="Calibri" w:hAnsi="Arial" w:cs="Arial"/>
                <w:b/>
                <w:bCs/>
                <w:sz w:val="24"/>
                <w:szCs w:val="24"/>
              </w:rPr>
              <w:lastRenderedPageBreak/>
              <w:t xml:space="preserve">Pkt </w:t>
            </w:r>
            <w:r>
              <w:rPr>
                <w:rFonts w:ascii="Arial" w:eastAsia="Calibri" w:hAnsi="Arial" w:cs="Arial"/>
                <w:b/>
                <w:bCs/>
                <w:sz w:val="24"/>
                <w:szCs w:val="24"/>
              </w:rPr>
              <w:t>B.1.4 Opis projektu/ pkt U Informacje specyficzne</w:t>
            </w:r>
          </w:p>
          <w:p w14:paraId="04754419" w14:textId="1FA59658" w:rsidR="00A95EB2" w:rsidRDefault="00BC1C8A" w:rsidP="003F154D">
            <w:p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 xml:space="preserve">Należy wskazać w jaki sposób </w:t>
            </w:r>
            <w:r w:rsidR="003F154D">
              <w:rPr>
                <w:rFonts w:ascii="Arial" w:eastAsia="Calibri" w:hAnsi="Arial" w:cs="Arial"/>
                <w:sz w:val="24"/>
                <w:szCs w:val="24"/>
              </w:rPr>
              <w:t xml:space="preserve">w projekcie zostały uwzględnione zasady gospodarki obiegu zamkniętego (GOZ) </w:t>
            </w:r>
            <w:r w:rsidR="00B57A82">
              <w:rPr>
                <w:rFonts w:ascii="Arial" w:eastAsia="Calibri" w:hAnsi="Arial" w:cs="Arial"/>
                <w:sz w:val="24"/>
                <w:szCs w:val="24"/>
              </w:rPr>
              <w:t xml:space="preserve">na poszczególnych etapach </w:t>
            </w:r>
            <w:r w:rsidR="003F154D" w:rsidRPr="003F154D">
              <w:rPr>
                <w:rFonts w:ascii="Arial" w:eastAsia="Calibri" w:hAnsi="Arial" w:cs="Arial"/>
                <w:sz w:val="24"/>
                <w:szCs w:val="24"/>
              </w:rPr>
              <w:t>cyklu życia produktu/</w:t>
            </w:r>
            <w:r w:rsidR="00630AC0">
              <w:rPr>
                <w:rFonts w:ascii="Arial" w:eastAsia="Calibri" w:hAnsi="Arial" w:cs="Arial"/>
                <w:sz w:val="24"/>
                <w:szCs w:val="24"/>
              </w:rPr>
              <w:t xml:space="preserve"> </w:t>
            </w:r>
            <w:r w:rsidR="003F154D" w:rsidRPr="003F154D">
              <w:rPr>
                <w:rFonts w:ascii="Arial" w:eastAsia="Calibri" w:hAnsi="Arial" w:cs="Arial"/>
                <w:sz w:val="24"/>
                <w:szCs w:val="24"/>
              </w:rPr>
              <w:t xml:space="preserve">produktów </w:t>
            </w:r>
            <w:r>
              <w:rPr>
                <w:rFonts w:ascii="Arial" w:eastAsia="Calibri" w:hAnsi="Arial" w:cs="Arial"/>
                <w:sz w:val="24"/>
                <w:szCs w:val="24"/>
              </w:rPr>
              <w:t xml:space="preserve">oraz </w:t>
            </w:r>
            <w:r w:rsidR="003F154D">
              <w:rPr>
                <w:rFonts w:ascii="Arial" w:eastAsia="Calibri" w:hAnsi="Arial" w:cs="Arial"/>
                <w:sz w:val="24"/>
                <w:szCs w:val="24"/>
              </w:rPr>
              <w:t>poprzez jakie</w:t>
            </w:r>
            <w:r>
              <w:rPr>
                <w:rFonts w:ascii="Arial" w:eastAsia="Calibri" w:hAnsi="Arial" w:cs="Arial"/>
                <w:sz w:val="24"/>
                <w:szCs w:val="24"/>
              </w:rPr>
              <w:t xml:space="preserve"> elementy w projekcie</w:t>
            </w:r>
            <w:r w:rsidR="003F154D">
              <w:rPr>
                <w:rFonts w:ascii="Arial" w:eastAsia="Calibri" w:hAnsi="Arial" w:cs="Arial"/>
                <w:sz w:val="24"/>
                <w:szCs w:val="24"/>
              </w:rPr>
              <w:t xml:space="preserve">. </w:t>
            </w:r>
          </w:p>
          <w:p w14:paraId="511EA5AF" w14:textId="7B9983A0" w:rsidR="003F154D" w:rsidRPr="003F154D" w:rsidRDefault="003F154D" w:rsidP="00630AC0">
            <w:pPr>
              <w:spacing w:after="0"/>
              <w:ind w:left="31"/>
              <w:contextualSpacing/>
              <w:rPr>
                <w:rFonts w:ascii="Arial" w:eastAsia="Times New Roman" w:hAnsi="Arial" w:cs="Arial"/>
                <w:sz w:val="24"/>
                <w:szCs w:val="24"/>
                <w:lang w:val="x-none" w:eastAsia="x-none"/>
              </w:rPr>
            </w:pPr>
            <w:r>
              <w:rPr>
                <w:rFonts w:ascii="Arial" w:eastAsia="Times New Roman" w:hAnsi="Arial" w:cs="Arial"/>
                <w:sz w:val="24"/>
                <w:szCs w:val="24"/>
                <w:lang w:val="x-none" w:eastAsia="x-none"/>
              </w:rPr>
              <w:t xml:space="preserve">Za etapy cyklu życia produktu uznaje się: projektowanie, wytwarzanie, użytkowanie, zagospodarowanie odpadów lub modele biznesowy. </w:t>
            </w:r>
          </w:p>
        </w:tc>
      </w:tr>
      <w:tr w:rsidR="000418E2" w:rsidRPr="003D5A4C" w14:paraId="0F65560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43AEAFB" w14:textId="77777777" w:rsidR="00630AC0" w:rsidRPr="00630AC0" w:rsidRDefault="00630AC0" w:rsidP="00630AC0">
            <w:pPr>
              <w:spacing w:after="120" w:line="276" w:lineRule="auto"/>
              <w:rPr>
                <w:rFonts w:ascii="Arial" w:eastAsia="Calibri" w:hAnsi="Arial" w:cs="Arial"/>
                <w:b/>
                <w:bCs/>
                <w:sz w:val="24"/>
                <w:szCs w:val="24"/>
              </w:rPr>
            </w:pPr>
            <w:r w:rsidRPr="00630AC0">
              <w:rPr>
                <w:rFonts w:ascii="Arial" w:eastAsia="Calibri" w:hAnsi="Arial" w:cs="Arial"/>
                <w:b/>
                <w:bCs/>
                <w:sz w:val="24"/>
                <w:szCs w:val="24"/>
              </w:rPr>
              <w:t>Pkt B.1.4 Opis projektu/ pkt U Informacje specyficzne</w:t>
            </w:r>
          </w:p>
          <w:p w14:paraId="6A746C22" w14:textId="6604304C" w:rsidR="00AF3D39" w:rsidRPr="001E0E88" w:rsidRDefault="00AD1E4D" w:rsidP="001E0E88">
            <w:pPr>
              <w:spacing w:after="120" w:line="276" w:lineRule="auto"/>
              <w:rPr>
                <w:rFonts w:ascii="Arial" w:eastAsia="Times New Roman" w:hAnsi="Arial" w:cs="Arial"/>
                <w:sz w:val="24"/>
                <w:szCs w:val="24"/>
              </w:rPr>
            </w:pPr>
            <w:r w:rsidRPr="00AD1E4D">
              <w:rPr>
                <w:rFonts w:ascii="Arial" w:eastAsia="Times New Roman" w:hAnsi="Arial" w:cs="Arial"/>
                <w:sz w:val="24"/>
                <w:szCs w:val="24"/>
              </w:rPr>
              <w:t>Należy wskazać</w:t>
            </w:r>
            <w:r>
              <w:rPr>
                <w:rFonts w:ascii="Arial" w:eastAsia="Times New Roman" w:hAnsi="Arial" w:cs="Arial"/>
                <w:sz w:val="24"/>
                <w:szCs w:val="24"/>
              </w:rPr>
              <w:t xml:space="preserve"> </w:t>
            </w:r>
            <w:r w:rsidR="00635F80">
              <w:rPr>
                <w:rFonts w:ascii="Arial" w:eastAsia="Times New Roman" w:hAnsi="Arial" w:cs="Arial"/>
                <w:sz w:val="24"/>
                <w:szCs w:val="24"/>
              </w:rPr>
              <w:t xml:space="preserve">oraz opisać </w:t>
            </w:r>
            <w:r>
              <w:rPr>
                <w:rFonts w:ascii="Arial" w:eastAsia="Times New Roman" w:hAnsi="Arial" w:cs="Arial"/>
                <w:sz w:val="24"/>
                <w:szCs w:val="24"/>
              </w:rPr>
              <w:t xml:space="preserve">planowane do realizacji działania informacyjno – edukacyjne w projekcie. </w:t>
            </w:r>
            <w:r w:rsidR="004A4DF7">
              <w:rPr>
                <w:rFonts w:ascii="Arial" w:eastAsia="Times New Roman" w:hAnsi="Arial" w:cs="Arial"/>
                <w:sz w:val="24"/>
                <w:szCs w:val="24"/>
              </w:rPr>
              <w:t>Należy wskazać czy działania informacyjno – edukacyjne dotyczą wyłącznie zakresu rzeczowego ujętego w projekcie czy też dotyczą szerszej tematyki wykraczającej poza zakres rzeczowy projektu.</w:t>
            </w:r>
          </w:p>
        </w:tc>
      </w:tr>
      <w:tr w:rsidR="00EF053B" w:rsidRPr="003D5A4C" w14:paraId="50F6562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7B469AE2" w14:textId="77777777" w:rsidR="00675CD9" w:rsidRPr="00630AC0" w:rsidRDefault="00675CD9" w:rsidP="00675CD9">
            <w:pPr>
              <w:spacing w:after="120" w:line="276" w:lineRule="auto"/>
              <w:rPr>
                <w:rFonts w:ascii="Arial" w:eastAsia="Calibri" w:hAnsi="Arial" w:cs="Arial"/>
                <w:b/>
                <w:bCs/>
                <w:sz w:val="24"/>
                <w:szCs w:val="24"/>
              </w:rPr>
            </w:pPr>
            <w:r w:rsidRPr="00630AC0">
              <w:rPr>
                <w:rFonts w:ascii="Arial" w:eastAsia="Calibri" w:hAnsi="Arial" w:cs="Arial"/>
                <w:b/>
                <w:bCs/>
                <w:sz w:val="24"/>
                <w:szCs w:val="24"/>
              </w:rPr>
              <w:t>Pkt B.1.4 Opis projektu/ pkt U Informacje specyficzne</w:t>
            </w:r>
          </w:p>
          <w:p w14:paraId="138ADABE" w14:textId="26DBCE8D" w:rsidR="00D71274" w:rsidRPr="00B340A4" w:rsidRDefault="00B340A4" w:rsidP="00B340A4">
            <w:pPr>
              <w:autoSpaceDE w:val="0"/>
              <w:autoSpaceDN w:val="0"/>
              <w:adjustRightInd w:val="0"/>
              <w:spacing w:after="0"/>
              <w:rPr>
                <w:rFonts w:ascii="Arial" w:hAnsi="Arial" w:cs="Arial"/>
                <w:color w:val="000000"/>
                <w:sz w:val="24"/>
                <w:szCs w:val="24"/>
              </w:rPr>
            </w:pPr>
            <w:r w:rsidRPr="00B340A4">
              <w:rPr>
                <w:rFonts w:ascii="Arial" w:hAnsi="Arial" w:cs="Arial"/>
                <w:color w:val="000000"/>
                <w:sz w:val="24"/>
                <w:szCs w:val="24"/>
              </w:rPr>
              <w:t xml:space="preserve">Należy wskazać w jaki sposób projekt przyczyni się do zapewnienia zgodności systemu gospodarki odpadami z </w:t>
            </w:r>
            <w:r w:rsidRPr="00B340A4">
              <w:rPr>
                <w:rFonts w:ascii="Arial" w:hAnsi="Arial" w:cs="Arial"/>
                <w:b/>
                <w:color w:val="000000"/>
                <w:sz w:val="24"/>
                <w:szCs w:val="24"/>
              </w:rPr>
              <w:t>hierarchią postępowania z odpadami</w:t>
            </w:r>
            <w:r w:rsidRPr="00B340A4">
              <w:rPr>
                <w:rFonts w:ascii="Arial" w:hAnsi="Arial" w:cs="Arial"/>
                <w:color w:val="000000"/>
                <w:sz w:val="24"/>
                <w:szCs w:val="24"/>
              </w:rPr>
              <w:t xml:space="preserve"> (w pierwszej kolejności zapobieganie powstawaniu odpadów, następnie przygotowanie do ponownego użycia, recykling, inne metody odzysku, np. odzysk </w:t>
            </w:r>
            <w:r>
              <w:rPr>
                <w:rFonts w:ascii="Arial" w:hAnsi="Arial" w:cs="Arial"/>
                <w:color w:val="000000"/>
                <w:sz w:val="24"/>
                <w:szCs w:val="24"/>
              </w:rPr>
              <w:t>energii oraz unieszkodliwianie)</w:t>
            </w:r>
            <w:r w:rsidRPr="00B340A4">
              <w:rPr>
                <w:rFonts w:ascii="Arial" w:hAnsi="Arial" w:cs="Arial"/>
                <w:color w:val="000000"/>
                <w:sz w:val="24"/>
                <w:szCs w:val="24"/>
              </w:rPr>
              <w:t>.</w:t>
            </w:r>
            <w:r>
              <w:rPr>
                <w:rFonts w:ascii="Arial" w:hAnsi="Arial" w:cs="Arial"/>
                <w:color w:val="000000"/>
                <w:sz w:val="24"/>
                <w:szCs w:val="24"/>
              </w:rPr>
              <w:t xml:space="preserve"> Należy wskazać oraz opisać w jaki sposób w projekcie planuje się działania związane z zapobieganiem powstawania odpadów oraz </w:t>
            </w:r>
            <w:r w:rsidRPr="00B340A4">
              <w:rPr>
                <w:rFonts w:ascii="Arial" w:hAnsi="Arial" w:cs="Arial"/>
                <w:color w:val="000000"/>
                <w:sz w:val="24"/>
                <w:szCs w:val="24"/>
              </w:rPr>
              <w:t>dotyczące  selektywnej zbiórki odpadów, przygotowania do ponownego użycia, recyclingu i odzysku materiałowego</w:t>
            </w:r>
            <w:r>
              <w:rPr>
                <w:rFonts w:ascii="Arial" w:hAnsi="Arial" w:cs="Arial"/>
                <w:color w:val="000000"/>
                <w:sz w:val="24"/>
                <w:szCs w:val="24"/>
              </w:rPr>
              <w:t>.</w:t>
            </w:r>
          </w:p>
        </w:tc>
      </w:tr>
      <w:tr w:rsidR="00E82DC0" w:rsidRPr="003D5A4C" w14:paraId="5E5AD11C"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7ECAD93" w14:textId="3346607D" w:rsidR="00E82DC0" w:rsidRDefault="00E82DC0" w:rsidP="0069172D">
            <w:pPr>
              <w:tabs>
                <w:tab w:val="left" w:pos="1253"/>
              </w:tab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I Pomoc publiczna </w:t>
            </w:r>
          </w:p>
          <w:p w14:paraId="2DCBC183" w14:textId="77777777" w:rsidR="00E82DC0" w:rsidRDefault="00E82DC0" w:rsidP="00E82DC0">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przypadku projektów związanych z</w:t>
            </w:r>
            <w:r>
              <w:t xml:space="preserve"> </w:t>
            </w:r>
            <w:r>
              <w:rPr>
                <w:rFonts w:ascii="Arial" w:eastAsia="Times New Roman" w:hAnsi="Arial" w:cs="Arial"/>
                <w:iCs/>
                <w:sz w:val="24"/>
                <w:szCs w:val="24"/>
                <w:lang w:eastAsia="ar-SA"/>
              </w:rPr>
              <w:t xml:space="preserve">budową, rozbudową, przebudową instalacji do odzysku i recyklingu odpadów komunalnych  IZ FEM na podstawie opinii UOKIK oraz MFiPR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 Szczegółowe informacje nt. weryfikacji wystąpienia pomocy publicznej, </w:t>
            </w:r>
            <w:r>
              <w:rPr>
                <w:rFonts w:ascii="Arial" w:eastAsia="Times New Roman" w:hAnsi="Arial" w:cs="Arial"/>
                <w:iCs/>
                <w:sz w:val="24"/>
                <w:szCs w:val="24"/>
                <w:lang w:eastAsia="ar-SA"/>
              </w:rPr>
              <w:lastRenderedPageBreak/>
              <w:t>jak również warunków jej udzielenia określono w Wademekum wiedzy o wniosku – Rozdział 8 „Pomoc publiczna”.</w:t>
            </w:r>
          </w:p>
          <w:p w14:paraId="7CCB81A6" w14:textId="77777777" w:rsidR="00E82DC0" w:rsidRDefault="00E82DC0" w:rsidP="00E82DC0">
            <w:p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tym miejscu należy wskazać, że IZ zastrzega, że ocena wystąpienia pomocy publicznej, a także możliwości jej ewentualnego przyznania będzie weryfikowana indywidualnie dla każdego projektu i w tym celu IZ może zwrócić się do niezależnego doradcy o opinię w zakresie zgodności z przepisami o pomocy publicznej.  </w:t>
            </w:r>
          </w:p>
          <w:p w14:paraId="2639ACF3" w14:textId="77777777" w:rsidR="00E82DC0" w:rsidRDefault="00E82DC0" w:rsidP="00E82DC0">
            <w:pPr>
              <w:autoSpaceDE w:val="0"/>
              <w:autoSpaceDN w:val="0"/>
              <w:adjustRightInd w:val="0"/>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Dodatkowo należy mieć na uwadze, że w przypadku gdy projekt ma dotyczyć instalacji wykorzystywanych do świadczenia usług w ogólnym interesie gospodarczym, w ramach których dofinansowanie ma stanowić element rekompensaty z tytułu świadczenia usług, ocena wystąpienia pomocy publicznej odnosi się do tego, czy rekompensata za świadczenie usługi stanowi pomoc publiczną. W takim przypadku niezależnie od tego jaki podmiot ubiega się o dofinansowanie (Organizator/Operator) </w:t>
            </w:r>
            <w:r>
              <w:rPr>
                <w:rFonts w:ascii="Arial" w:eastAsia="Times New Roman" w:hAnsi="Arial" w:cs="Arial"/>
                <w:b/>
                <w:iCs/>
                <w:sz w:val="24"/>
                <w:szCs w:val="24"/>
                <w:lang w:eastAsia="ar-SA"/>
              </w:rPr>
              <w:t xml:space="preserve">koniecznym jest przedstawienia oświadczenia Organizatora, że dokonał oceny zasadności uznania usługi z zakresu prowadzenia instalacji do odzysku i recyclingu odpadków komunalnych jako UOIG za usługę publiczną, biorąc pod uwagę jej charakter oraz strukturę rynku, na jakim będzie ona świadczona. </w:t>
            </w:r>
          </w:p>
          <w:p w14:paraId="0DACB2A2" w14:textId="77777777" w:rsidR="00E82DC0" w:rsidRDefault="00E82DC0" w:rsidP="00E82DC0">
            <w:p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Jeżeli zakres świadczenia usługi z zakresu prowadzenia instalacji do odzysku i recyclingu odpadów komunalnych mieści się w ramach UOIG koniecznym jest przedstawienie informacji wskazujących czy rekompensata za jej świadczenie stanowi pomoc publiczną. Jeżeli tak, koniecznym jest potwierdzenie jej zgodności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 takim przypadku również dofinansowanie stanowić będzie pomoc publiczną. </w:t>
            </w:r>
            <w:r>
              <w:rPr>
                <w:rFonts w:ascii="Arial" w:eastAsia="Times New Roman" w:hAnsi="Arial" w:cs="Arial"/>
                <w:b/>
                <w:iCs/>
                <w:sz w:val="24"/>
                <w:szCs w:val="24"/>
                <w:lang w:eastAsia="ar-SA"/>
              </w:rPr>
              <w:t>Ocena wystąpienia pomocy rozpatrywana będzie w stosunku do usługi nie zaś bezpośrednio do tego, jaki podmiot jest Wnioskodawcą projektu</w:t>
            </w:r>
            <w:r>
              <w:rPr>
                <w:rFonts w:ascii="Arial" w:eastAsia="Times New Roman" w:hAnsi="Arial" w:cs="Arial"/>
                <w:iCs/>
                <w:sz w:val="24"/>
                <w:szCs w:val="24"/>
                <w:lang w:eastAsia="ar-SA"/>
              </w:rPr>
              <w:t xml:space="preserve">. </w:t>
            </w:r>
          </w:p>
          <w:p w14:paraId="354DA7DA" w14:textId="77777777" w:rsidR="00E82DC0" w:rsidRDefault="00E82DC0" w:rsidP="00E82DC0">
            <w:p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Analizując kwestie wystąpienia pomocy publicznej należy wyróżnić następujące sytuacje:</w:t>
            </w:r>
          </w:p>
          <w:p w14:paraId="7F2D161B" w14:textId="77777777" w:rsidR="00E82DC0" w:rsidRDefault="00E82DC0" w:rsidP="00E82DC0">
            <w:pPr>
              <w:numPr>
                <w:ilvl w:val="0"/>
                <w:numId w:val="35"/>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Dofinansowanie </w:t>
            </w:r>
            <w:r>
              <w:rPr>
                <w:rFonts w:ascii="Arial" w:eastAsia="Times New Roman" w:hAnsi="Arial" w:cs="Arial"/>
                <w:b/>
                <w:iCs/>
                <w:sz w:val="24"/>
                <w:szCs w:val="24"/>
                <w:lang w:eastAsia="ar-SA"/>
              </w:rPr>
              <w:t>nie będzie stanowiło pomocy publicznej</w:t>
            </w:r>
            <w:r>
              <w:rPr>
                <w:rFonts w:ascii="Arial" w:eastAsia="Times New Roman" w:hAnsi="Arial" w:cs="Arial"/>
                <w:iCs/>
                <w:sz w:val="24"/>
                <w:szCs w:val="24"/>
                <w:lang w:eastAsia="ar-SA"/>
              </w:rPr>
              <w:t xml:space="preserve"> - w sytuacji gdy powierzenie świadczenia UOIG nastąpiło zgodnie z warunkami zgodnymi z orzeczeniem ws. Altmark Trans Gmbh wówczas wynagrodzenie na rzecz operatora nie stanowi pomocy publicznej. Tym samym dofinansowanie stanowiące element wynagrodzenia również nie będzie stanowiło pomocy publicznej. Jednocześnie konieczne jest wykazanie spełnienia kryteriów określonych w orzeczeniu poprzez odniesienia do każdego z nich (patrz </w:t>
            </w:r>
            <w:r>
              <w:rPr>
                <w:rFonts w:ascii="Arial" w:eastAsia="Times New Roman" w:hAnsi="Arial" w:cs="Arial"/>
                <w:iCs/>
                <w:sz w:val="24"/>
                <w:szCs w:val="24"/>
                <w:lang w:eastAsia="ar-SA"/>
              </w:rPr>
              <w:lastRenderedPageBreak/>
              <w:t xml:space="preserve">Wademekum Podrozdział 8.8). W szczególności należy </w:t>
            </w:r>
            <w:r>
              <w:rPr>
                <w:rFonts w:ascii="Arial" w:eastAsia="Times New Roman" w:hAnsi="Arial" w:cs="Arial"/>
                <w:b/>
                <w:iCs/>
                <w:sz w:val="24"/>
                <w:szCs w:val="24"/>
                <w:lang w:eastAsia="ar-SA"/>
              </w:rPr>
              <w:t>potwierdzić, że wybór operatora nastąpił w trybie konkurencyjnym w tym, że w postępowaniu uczestniczył więcej niż jeden oferent</w:t>
            </w:r>
            <w:r>
              <w:rPr>
                <w:rFonts w:ascii="Arial" w:eastAsia="Times New Roman" w:hAnsi="Arial" w:cs="Arial"/>
                <w:iCs/>
                <w:sz w:val="24"/>
                <w:szCs w:val="24"/>
                <w:lang w:eastAsia="ar-SA"/>
              </w:rPr>
              <w:t xml:space="preserve">. Ponadto należy wykazać, że </w:t>
            </w:r>
            <w:r>
              <w:rPr>
                <w:rFonts w:ascii="Arial" w:eastAsia="Times New Roman" w:hAnsi="Arial" w:cs="Arial"/>
                <w:b/>
                <w:iCs/>
                <w:sz w:val="24"/>
                <w:szCs w:val="24"/>
                <w:lang w:eastAsia="ar-SA"/>
              </w:rPr>
              <w:t>na etapie ogłoszenia postępowania została/zostanie uwzględniona informacja nt. możliwości ubiegania się o dofinansowanie w oparciu środki FEM na lata 2021- 2027</w:t>
            </w:r>
            <w:r>
              <w:rPr>
                <w:rFonts w:ascii="Arial" w:eastAsia="Times New Roman" w:hAnsi="Arial" w:cs="Arial"/>
                <w:iCs/>
                <w:sz w:val="24"/>
                <w:szCs w:val="24"/>
                <w:lang w:eastAsia="ar-SA"/>
              </w:rPr>
              <w:t xml:space="preserve"> jak również, że </w:t>
            </w:r>
            <w:r>
              <w:rPr>
                <w:rFonts w:ascii="Arial" w:eastAsia="Times New Roman" w:hAnsi="Arial" w:cs="Arial"/>
                <w:b/>
                <w:iCs/>
                <w:sz w:val="24"/>
                <w:szCs w:val="24"/>
                <w:lang w:eastAsia="ar-SA"/>
              </w:rPr>
              <w:t>umowa powierzenia uwzględnia/ będzie uwzględniać wpływ dofinansowania na wysokość wynagrodzenia ustalonego w ramach postępowania konkurencyjnego</w:t>
            </w:r>
            <w:r>
              <w:rPr>
                <w:rFonts w:ascii="Arial" w:eastAsia="Times New Roman" w:hAnsi="Arial" w:cs="Arial"/>
                <w:iCs/>
                <w:sz w:val="24"/>
                <w:szCs w:val="24"/>
                <w:lang w:eastAsia="ar-SA"/>
              </w:rPr>
              <w:t xml:space="preserve">; </w:t>
            </w:r>
          </w:p>
          <w:p w14:paraId="7FB607AF" w14:textId="77777777" w:rsidR="00E82DC0" w:rsidRDefault="00E82DC0" w:rsidP="00E82DC0">
            <w:pPr>
              <w:numPr>
                <w:ilvl w:val="0"/>
                <w:numId w:val="35"/>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Dofinansowanie stanowić </w:t>
            </w:r>
            <w:r>
              <w:rPr>
                <w:rFonts w:ascii="Arial" w:eastAsia="Times New Roman" w:hAnsi="Arial" w:cs="Arial"/>
                <w:b/>
                <w:iCs/>
                <w:sz w:val="24"/>
                <w:szCs w:val="24"/>
                <w:lang w:eastAsia="ar-SA"/>
              </w:rPr>
              <w:t>będzie pomoc publiczną</w:t>
            </w:r>
            <w:r>
              <w:rPr>
                <w:rFonts w:ascii="Arial" w:eastAsia="Times New Roman" w:hAnsi="Arial" w:cs="Arial"/>
                <w:iCs/>
                <w:sz w:val="24"/>
                <w:szCs w:val="24"/>
                <w:lang w:eastAsia="ar-SA"/>
              </w:rPr>
              <w:t xml:space="preserve"> -  w przypadku gdy powierzenie UOIG nastąpiło w inny sposób np. bezpośrednie powierzenie na rzecz operatora wówczas rekompensata stanowi pomoc publiczną w rozumieniu art. 107 ust. 1 TFUE. W sytuacji, w której pomoc ta jest zgodna z właściwymi przepisami prawa może zostać uznana za zgodną ze wspólnym rynkiem (patrz Wademekum Podrozdział 8.8). </w:t>
            </w:r>
          </w:p>
          <w:p w14:paraId="0551CAC6" w14:textId="77777777" w:rsidR="00E82DC0" w:rsidRDefault="00E82DC0" w:rsidP="00E82DC0">
            <w:pPr>
              <w:numPr>
                <w:ilvl w:val="0"/>
                <w:numId w:val="35"/>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Dofinansowanie stanowić będzie pomoc de minimis na podstawie Rozporządzenia  Komisji (UE) 2023/2831 z dnia 13 grudnia 2023 r. w sprawie stosowania art. 107 i 108 Traktatu o funkcjonowaniu Unii Europejskiej do pomocy de minimis – konieczne jest wykazanie spełnienia warunków ubiegania się o ten rodzaj pomocy (patrz podrozdział 8.8 Wademekum) w tym w szczególności wykazanie dostępności limitu pomocy de minimis (300 tys. Euro na jedno przedsiębiorstwo w okresie 3 lat);</w:t>
            </w:r>
          </w:p>
          <w:p w14:paraId="2DDCCDB2" w14:textId="77777777" w:rsidR="00E82DC0" w:rsidRDefault="00E82DC0" w:rsidP="00E82DC0">
            <w:pPr>
              <w:numPr>
                <w:ilvl w:val="0"/>
                <w:numId w:val="35"/>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Dofinansowanie stanowić będzie pomoc de minimis na podstawie Rozporządzenia  Komisji (UE) 2023/2832 z dnia 13 grudnia 2023 r. w sprawie stosowania art. 107 i 108 Traktatu o funkcjonowaniu Unii Europejskiej do pomocy de minimis przyznawanej przedsiębiorstwom wykonującym usługi świadczone w ogólnym interesie gospodarczym –rozporządzenie powinno stosować się wyłącznie do pomocy przyznanej na wykonywanie usług świadczonych w ogólnym interesie gospodarczym. Koniecznym jest potwierdzenie, że przedsiębiorstwu korzystającemu z pomocy powierzono na piśmie lub w formie elektronicznej wykonywanie usługi świadczonej w ogólnym interesie gospodarczym, na którą przyznawana jest pomoc. Należy mieć na uwadze, że pomoc de minimis uzyskana w ramach dofinansowania oraz pomoc de minimis na świadczenie usługi muszą mieścić się w limicie pomocy de minimis (750 tys. Euro na jedno przedsiębiorstwo w okresie 3 lat);</w:t>
            </w:r>
          </w:p>
          <w:p w14:paraId="0ACBEF3F" w14:textId="77777777" w:rsidR="00E82DC0" w:rsidRDefault="00E82DC0" w:rsidP="00E82DC0">
            <w:pPr>
              <w:numPr>
                <w:ilvl w:val="0"/>
                <w:numId w:val="35"/>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Dofinansowanie stanowić będzie regionalną pomoc inwestycyjną – koniecznym jest potwierdzenie spełnienia warunków ubiegania się o ten rodzaj pomocy.</w:t>
            </w:r>
          </w:p>
          <w:p w14:paraId="4CA60599" w14:textId="77777777" w:rsidR="00E82DC0" w:rsidRDefault="00E82DC0" w:rsidP="00E82DC0">
            <w:pPr>
              <w:autoSpaceDE w:val="0"/>
              <w:autoSpaceDN w:val="0"/>
              <w:adjustRightInd w:val="0"/>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Poniższe zapisy dotyczą sytuacji w której dofinansowanie ma zostać przyznane jako element rekompensaty z tytułu świadczenia UOIG.</w:t>
            </w:r>
          </w:p>
          <w:p w14:paraId="1831A3E3" w14:textId="77777777" w:rsidR="00E82DC0" w:rsidRDefault="00E82DC0" w:rsidP="00E82DC0">
            <w:p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przypadku gdy o dofinansowanie ubiegać się będzie:</w:t>
            </w:r>
          </w:p>
          <w:p w14:paraId="4369051F" w14:textId="77777777" w:rsidR="00E82DC0" w:rsidRDefault="00E82DC0" w:rsidP="00E82DC0">
            <w:pPr>
              <w:numPr>
                <w:ilvl w:val="0"/>
                <w:numId w:val="36"/>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b/>
                <w:iCs/>
                <w:sz w:val="24"/>
                <w:szCs w:val="24"/>
                <w:lang w:eastAsia="ar-SA"/>
              </w:rPr>
              <w:t>Organizator</w:t>
            </w:r>
            <w:r>
              <w:rPr>
                <w:rFonts w:ascii="Arial" w:eastAsia="Times New Roman" w:hAnsi="Arial" w:cs="Arial"/>
                <w:iCs/>
                <w:sz w:val="24"/>
                <w:szCs w:val="24"/>
                <w:lang w:eastAsia="ar-SA"/>
              </w:rPr>
              <w:t xml:space="preserve">, </w:t>
            </w:r>
            <w:r>
              <w:rPr>
                <w:rFonts w:ascii="Arial" w:eastAsia="Times New Roman" w:hAnsi="Arial" w:cs="Arial"/>
                <w:b/>
                <w:iCs/>
                <w:sz w:val="24"/>
                <w:szCs w:val="24"/>
                <w:lang w:eastAsia="ar-SA"/>
              </w:rPr>
              <w:t>który powierzył</w:t>
            </w:r>
            <w:r>
              <w:rPr>
                <w:rFonts w:ascii="Arial" w:eastAsia="Times New Roman" w:hAnsi="Arial" w:cs="Arial"/>
                <w:iCs/>
                <w:sz w:val="24"/>
                <w:szCs w:val="24"/>
                <w:lang w:eastAsia="ar-SA"/>
              </w:rPr>
              <w:t xml:space="preserve"> świadczenie UOIG w trybie spełniającym kryteria z orzeczenia ws. Altmark Trans Gmbh wówczas:</w:t>
            </w:r>
          </w:p>
          <w:p w14:paraId="2EF63EF2"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I.1.1A odznacza NIE (lub częściowo jeżeli w projekcie uwzględniono część objętą pomocą);</w:t>
            </w:r>
          </w:p>
          <w:p w14:paraId="37D984BC"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I.1.1A powinien odznaczyć NIE i w pkt I.7.1 wykazać, że operator nie uzyska innej korzyści niż ta wynikająca z wynagrodzenia oraz że na etapie ogłaszania postępowania wskazano warunki udostępniania majątku. Konieczne jest określenie formy udostępnienia majątku operatorowi;</w:t>
            </w:r>
          </w:p>
          <w:p w14:paraId="2EC5EA54"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I.1.2.3A należy przedstawić informacje potwierdzające, że organizator realizuje w ramach projektu zadania wynikające z przepisów prawa w zakresie gospodarki odpadami. Należy wskazać również zakres świadczonej usługi oraz opisać sposób powierzenia świadczenia usług (tryb, czas obowiązywania umowy). Dodatkowo w tym punkcie należy</w:t>
            </w:r>
            <w:r>
              <w:rPr>
                <w:rFonts w:ascii="Calibri" w:hAnsi="Calibri" w:cs="Calibri"/>
                <w:color w:val="000000"/>
                <w:sz w:val="24"/>
                <w:szCs w:val="24"/>
              </w:rPr>
              <w:t xml:space="preserve"> </w:t>
            </w:r>
            <w:r>
              <w:rPr>
                <w:rFonts w:ascii="Arial" w:eastAsia="Times New Roman" w:hAnsi="Arial" w:cs="Arial"/>
                <w:iCs/>
                <w:sz w:val="24"/>
                <w:szCs w:val="24"/>
                <w:lang w:eastAsia="ar-SA"/>
              </w:rPr>
              <w:t>potwierdzić, że wybór operatora nastąpił w trybie konkurencyjnym w tym, że w postępowaniu uczestniczył więcej niż jeden oferent. Ponadto należy odnieść się do każdego z warunków wynikających z orzeczenia ws. Altmark Trans Gmbh w tym wykazać, że na etapie ogłoszenia postępowania została uwzględniona informacja nt. możliwości ubiegania się o dofinansowanie w oparciu o środki FEM na lata 2021- 2027 jak również, że umowa powierzenia uwzględnia wpływ dofinansowania na wysokość wynagrodzenia.</w:t>
            </w:r>
          </w:p>
          <w:p w14:paraId="79BB5DAC" w14:textId="77777777" w:rsidR="00E82DC0" w:rsidRDefault="00E82DC0" w:rsidP="00E82DC0">
            <w:pPr>
              <w:autoSpaceDE w:val="0"/>
              <w:autoSpaceDN w:val="0"/>
              <w:adjustRightInd w:val="0"/>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sytuacji, w której powierzenie jest na okres krótszy niż okres ekonomicznej użyteczności infrastruktury należy przedstawić informacje potwierdzające, że kolejne powierzenie nastąpi również na zasadach określonych w orzeczeniu w sprawie Altmark Trans Gmbh (patrz kolejny pkt); </w:t>
            </w:r>
          </w:p>
          <w:p w14:paraId="2405826D"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I.1.2.3B - pkt I.1.2.4E – należy wypełnić zgodnie z wymogami określonymi w Instrukcji wypełniania wniosku w systemie IGA (patrz str 53 -61).</w:t>
            </w:r>
          </w:p>
          <w:p w14:paraId="02695BA7"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części U </w:t>
            </w:r>
            <w:r>
              <w:rPr>
                <w:rFonts w:ascii="Arial" w:eastAsia="Times New Roman" w:hAnsi="Arial" w:cs="Arial"/>
                <w:b/>
                <w:iCs/>
                <w:sz w:val="24"/>
                <w:szCs w:val="24"/>
                <w:lang w:eastAsia="ar-SA"/>
              </w:rPr>
              <w:t>przedstawić umowę powierzenia oraz ew. harmonogram kolejnego powierzenia świadczenia usług</w:t>
            </w:r>
            <w:r>
              <w:rPr>
                <w:rFonts w:ascii="Arial" w:eastAsia="Times New Roman" w:hAnsi="Arial" w:cs="Arial"/>
                <w:iCs/>
                <w:sz w:val="24"/>
                <w:szCs w:val="24"/>
                <w:lang w:eastAsia="ar-SA"/>
              </w:rPr>
              <w:t xml:space="preserve"> wraz założeniami następnego powierzenia (tryb, zakres świadczenia, </w:t>
            </w:r>
            <w:r>
              <w:rPr>
                <w:rFonts w:ascii="Arial" w:eastAsia="Times New Roman" w:hAnsi="Arial" w:cs="Arial"/>
                <w:iCs/>
                <w:sz w:val="24"/>
                <w:szCs w:val="24"/>
                <w:lang w:eastAsia="ar-SA"/>
              </w:rPr>
              <w:lastRenderedPageBreak/>
              <w:t>sposób udostępnienia majątku, wykazać zgodność z ustawą o gospodarce komunalnej/ustawie o odpadach);</w:t>
            </w:r>
          </w:p>
          <w:p w14:paraId="1EEDD728" w14:textId="77777777" w:rsidR="00E82DC0" w:rsidRDefault="00E82DC0" w:rsidP="00E82DC0">
            <w:pPr>
              <w:numPr>
                <w:ilvl w:val="0"/>
                <w:numId w:val="36"/>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b/>
                <w:iCs/>
                <w:sz w:val="24"/>
                <w:szCs w:val="24"/>
                <w:lang w:eastAsia="ar-SA"/>
              </w:rPr>
              <w:t>Organizator, który planuje powierzyć</w:t>
            </w:r>
            <w:r>
              <w:rPr>
                <w:rFonts w:ascii="Arial" w:eastAsia="Times New Roman" w:hAnsi="Arial" w:cs="Arial"/>
                <w:iCs/>
                <w:sz w:val="24"/>
                <w:szCs w:val="24"/>
                <w:lang w:eastAsia="ar-SA"/>
              </w:rPr>
              <w:t xml:space="preserve"> świadczenie usług w trybie spełniającym kryteria z orzeczenia ws. Altmark Trans Gmbh wówczas:</w:t>
            </w:r>
          </w:p>
          <w:p w14:paraId="2563E9EF"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I.1.1A odznacza NIE (lub częściowo jeżeli w projekcie uwzględniono część objętą pomocą);</w:t>
            </w:r>
          </w:p>
          <w:p w14:paraId="05123C7C"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I.1.1A powinien odznaczyć NIE i w pkt I.7.1 wykazać, że operator nie uzyska innej korzyści niż ta wynikająca z wynagrodzenia oraz że na etapie ogłaszania postępowania wskazane zostaną warunki udostępniania instalacji. Konieczne jest określenie formy udostępnienia majątku operatorowi ;</w:t>
            </w:r>
          </w:p>
          <w:p w14:paraId="27A71F8A"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I.1.2.3A należy przedstawić informacji potwierdzające, że organizator realizuje w ramach projektu zadania wynikające z przepisów prawa w zakresie gospodarki odpadami. Należy wskazać również planowany zakres świadczonej usługi oraz opisać sposób planowany powierzenia świadczenia usług (tryb, czas obowiązywania umowy). Dodatkowo w tym punkcie należy</w:t>
            </w:r>
            <w:r>
              <w:rPr>
                <w:rFonts w:ascii="Calibri" w:hAnsi="Calibri" w:cs="Calibri"/>
                <w:color w:val="000000"/>
                <w:sz w:val="24"/>
                <w:szCs w:val="24"/>
              </w:rPr>
              <w:t xml:space="preserve"> </w:t>
            </w:r>
            <w:r>
              <w:rPr>
                <w:rFonts w:ascii="Arial" w:eastAsia="Times New Roman" w:hAnsi="Arial" w:cs="Arial"/>
                <w:iCs/>
                <w:sz w:val="24"/>
                <w:szCs w:val="24"/>
                <w:lang w:eastAsia="ar-SA"/>
              </w:rPr>
              <w:t xml:space="preserve">potwierdzić, że wybór operatora nastąpi w trybie konkurencyjnym. Organizator musi również potwierdzić, że przyjmuje ryzyko, że w sytuacji gdy podstępowanie nie będzie konkurencyjne wówczas brak będzie możliwości potwierdzenia kryteriów z Altmark, a tym samym rekompensata (a co za tym idzie dofinansowanie) będzie stanowiło pomoc publiczną. </w:t>
            </w:r>
          </w:p>
          <w:p w14:paraId="5171B757" w14:textId="77777777" w:rsidR="00E82DC0" w:rsidRDefault="00E82DC0" w:rsidP="00E82DC0">
            <w:pPr>
              <w:autoSpaceDE w:val="0"/>
              <w:autoSpaceDN w:val="0"/>
              <w:adjustRightInd w:val="0"/>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Ponadto należy odnieść się do każdego z warunków wynikających z orzeczenia ws. Altmark Trans Gmbh w tym wykazać, że na etapie ogłoszenia postępowania zostanie uwzględniona informacja nt. możliwości ubiegania się o dofinansowanie w oparciu o środki FEM na lata 2021- 2027 jak również, że umowa powierzenia będzie uwzględniać wpływ dofinansowania na wysokość wynagrodzenia.</w:t>
            </w:r>
          </w:p>
          <w:p w14:paraId="12936604" w14:textId="77777777" w:rsidR="00E82DC0" w:rsidRDefault="00E82DC0" w:rsidP="00E82DC0">
            <w:pPr>
              <w:autoSpaceDE w:val="0"/>
              <w:autoSpaceDN w:val="0"/>
              <w:adjustRightInd w:val="0"/>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sytuacji, w której powierzenie nastąpi na okres krótszy niż okres ekonomicznej użyteczności infrastruktury należy przedstawić informacje potwierdzające, że kolejne powierzenie nastąpi również na zasadach określonych w orzeczeniu w sprawie Altmark Trans Gmbh; </w:t>
            </w:r>
          </w:p>
          <w:p w14:paraId="3BBD6006"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pkt I.1.2.3B - pkt I.1.2.4E – należy wypełnić zgodnie z wymogami określonymi w Instrukcji wypełniania wniosku w systemie IGA (patrz str 53 -61). </w:t>
            </w:r>
          </w:p>
          <w:p w14:paraId="6B19A556"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części U przedstawić </w:t>
            </w:r>
            <w:r>
              <w:rPr>
                <w:rFonts w:ascii="Arial" w:eastAsia="Times New Roman" w:hAnsi="Arial" w:cs="Arial"/>
                <w:b/>
                <w:iCs/>
                <w:sz w:val="24"/>
                <w:szCs w:val="24"/>
                <w:lang w:eastAsia="ar-SA"/>
              </w:rPr>
              <w:t>projekt umowy powierzenia</w:t>
            </w:r>
            <w:r>
              <w:rPr>
                <w:rFonts w:ascii="Arial" w:eastAsia="Times New Roman" w:hAnsi="Arial" w:cs="Arial"/>
                <w:iCs/>
                <w:sz w:val="24"/>
                <w:szCs w:val="24"/>
                <w:lang w:eastAsia="ar-SA"/>
              </w:rPr>
              <w:t xml:space="preserve"> lub założenia umowy (tryb, zakres świadczenia, sposób udostępnienia majątku, </w:t>
            </w:r>
            <w:r>
              <w:rPr>
                <w:rFonts w:ascii="Arial" w:eastAsia="Times New Roman" w:hAnsi="Arial" w:cs="Arial"/>
                <w:iCs/>
                <w:sz w:val="24"/>
                <w:szCs w:val="24"/>
                <w:lang w:eastAsia="ar-SA"/>
              </w:rPr>
              <w:lastRenderedPageBreak/>
              <w:t>wykazać zgodność z ustawą o gospodarce komunalnej/ustawie o odpadach) oraz harmonogram kolejnego powierzenia świadczenia usługi;</w:t>
            </w:r>
          </w:p>
          <w:p w14:paraId="51E8C84E" w14:textId="77777777" w:rsidR="00E82DC0" w:rsidRDefault="00E82DC0" w:rsidP="00E82DC0">
            <w:pPr>
              <w:numPr>
                <w:ilvl w:val="0"/>
                <w:numId w:val="36"/>
              </w:numPr>
              <w:autoSpaceDE w:val="0"/>
              <w:autoSpaceDN w:val="0"/>
              <w:adjustRightInd w:val="0"/>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Organizator, który planuje bezpośrednie powierzenia świadczenia usług na rzecz własnej spółki lub jednostki organizacyjnej</w:t>
            </w:r>
            <w:r>
              <w:rPr>
                <w:rFonts w:ascii="Arial" w:eastAsia="Times New Roman" w:hAnsi="Arial" w:cs="Arial"/>
                <w:iCs/>
                <w:sz w:val="24"/>
                <w:szCs w:val="24"/>
                <w:lang w:eastAsia="ar-SA"/>
              </w:rPr>
              <w:t xml:space="preserve"> </w:t>
            </w:r>
            <w:r>
              <w:rPr>
                <w:rFonts w:ascii="Arial" w:eastAsia="Times New Roman" w:hAnsi="Arial" w:cs="Arial"/>
                <w:b/>
                <w:iCs/>
                <w:sz w:val="24"/>
                <w:szCs w:val="24"/>
                <w:lang w:eastAsia="ar-SA"/>
              </w:rPr>
              <w:t>nie posiadającej osobowości prawnej:</w:t>
            </w:r>
          </w:p>
          <w:p w14:paraId="6A59401C"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I.1.1A odznacza TAK (lub częściowo jeżeli w projekcie uwzględniono część nieobjętą pomocą) ;</w:t>
            </w:r>
          </w:p>
          <w:p w14:paraId="7CFD61F6"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I.1.1A powinien odznaczyć NIE i w pkt I.7.1 wykazać, że operator nie uzyska innej korzyści niż ta wynikająca z rekompensaty np. cena dzierżawy będzie mieć charakter rynkowy. Konieczne jest określenie formy udostępnienia majątku operatorowi;</w:t>
            </w:r>
          </w:p>
          <w:p w14:paraId="1FA41ADF"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pkt I.1.2 jest automatycznie wypełniony (TAK dla wszystkich przesłanek) – nie dotyczy sytuacji gdy dofinansowanie stanowi częściowo pomoc publiczną (wówczas uzasadnienie braku pomocy jest dla części nieobjętej pomocą). </w:t>
            </w:r>
          </w:p>
          <w:p w14:paraId="75A7A444"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I.2.3B wybrać właściwy rodzaj pomocy oraz przedstawić Formularz informacji przedstawianych przy ubieganiu się o pomoc (wypełniony przez organizatora).</w:t>
            </w:r>
          </w:p>
          <w:p w14:paraId="3B55BAF1"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I.6.12 przedstawić informacje wymagane zapisami Instrukcji wypełniania wniosku w systemie IGA (patrz str. 74-75) oraz przedstawić dokumenty</w:t>
            </w:r>
            <w:r>
              <w:rPr>
                <w:rFonts w:ascii="Calibri" w:hAnsi="Calibri" w:cs="Calibri"/>
                <w:color w:val="000000"/>
                <w:sz w:val="24"/>
                <w:szCs w:val="24"/>
              </w:rPr>
              <w:t xml:space="preserve"> </w:t>
            </w:r>
            <w:r>
              <w:rPr>
                <w:rFonts w:ascii="Arial" w:eastAsia="Times New Roman" w:hAnsi="Arial" w:cs="Arial"/>
                <w:iCs/>
                <w:sz w:val="24"/>
                <w:szCs w:val="24"/>
                <w:lang w:eastAsia="ar-SA"/>
              </w:rPr>
              <w:t>regulujące kwestię powierzenia świadczenia UOIG;</w:t>
            </w:r>
          </w:p>
          <w:p w14:paraId="62F17B4D" w14:textId="77777777" w:rsidR="00E82DC0" w:rsidRDefault="00E82DC0" w:rsidP="00E82DC0">
            <w:pPr>
              <w:numPr>
                <w:ilvl w:val="0"/>
                <w:numId w:val="36"/>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b/>
                <w:iCs/>
                <w:sz w:val="24"/>
                <w:szCs w:val="24"/>
                <w:lang w:eastAsia="ar-SA"/>
              </w:rPr>
              <w:t>Operator,</w:t>
            </w:r>
            <w:r>
              <w:rPr>
                <w:rFonts w:ascii="Arial" w:eastAsia="Times New Roman" w:hAnsi="Arial" w:cs="Arial"/>
                <w:iCs/>
                <w:sz w:val="24"/>
                <w:szCs w:val="24"/>
                <w:lang w:eastAsia="ar-SA"/>
              </w:rPr>
              <w:t xml:space="preserve"> który świadczy usługi w trybie spełniającym kryteria z orzeczenia ws. Altmark Trans Gmbh wówczas:</w:t>
            </w:r>
          </w:p>
          <w:p w14:paraId="65142B50"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I.1.1A odznacza NIE (lub częściowo jeżeli w projekcie uwzględniono część objętą pomocą);</w:t>
            </w:r>
          </w:p>
          <w:p w14:paraId="51CE7CF2"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I.1.1A powinien odznaczyć NIE i w pkt I.7.1 wykazać, że infrastruktura będzie udostępniana innym podmiotom na równych niedyskryminujących zasadach (jeżeli przewiduje się taką sytuację);</w:t>
            </w:r>
          </w:p>
          <w:p w14:paraId="799C246E"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pkt I.1.2.3A należy uzupełnić zgodnie z zapisami Instrukcji wypełniania wniosku w systemie IGA z uwzględnieniem formy prowadzonej działalności oraz zakresu świadczonych usług; </w:t>
            </w:r>
          </w:p>
          <w:p w14:paraId="762E8BF7"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pkt I.1.2.4.A należy przedstawić informacje potwierdzające, że operator świadczy usługi zlecone w trybie spełniającym warunki wynikające z orzeczenia ws. Altmark Trans Gmbh. W szczególności </w:t>
            </w:r>
            <w:r>
              <w:rPr>
                <w:rFonts w:ascii="Arial" w:eastAsia="Times New Roman" w:hAnsi="Arial" w:cs="Arial"/>
                <w:iCs/>
                <w:sz w:val="24"/>
                <w:szCs w:val="24"/>
                <w:lang w:eastAsia="ar-SA"/>
              </w:rPr>
              <w:lastRenderedPageBreak/>
              <w:t>należy potwierdzić, że wybór operatora nastąpił w trybie konkurencyjnym (w tym, że w postępowaniu uczestniczył więcej niż jeden oferent). Ponadto należy odnieść się do każdego z warunków wynikających z orzeczenia ws. Altmark Trans Gmbh w tym wykazać, że na etapie ogłoszenia postępowania została uwzględniona informacja nt. możliwości ubiegania się o dofinansowanie w oparciu środki FEM na lata 2021- 2027 jak również, że umowa powierzenia uwzględnia wpływ dofinansowania na wysokość wynagrodzenia.</w:t>
            </w:r>
          </w:p>
          <w:p w14:paraId="72BC743E" w14:textId="77777777" w:rsidR="00E82DC0" w:rsidRDefault="00E82DC0" w:rsidP="00E82DC0">
            <w:pPr>
              <w:autoSpaceDE w:val="0"/>
              <w:autoSpaceDN w:val="0"/>
              <w:adjustRightInd w:val="0"/>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W sytuacji, w której powierzenie jest na okres krótszy niż okres ekonomicznej użyteczności infrastruktury konieczne jest przedstawienie informacji potwierdzających, że umowa powierzenie przewiduje rozliczenie rekompensaty odpowiadającej niezamortyzowanej wartości zakupionej/wybudowanej w ramach projektu infrastruktury. Rozliczenie może przewidywać w szczególności zwrot środków lub przekazanie infrastruktury kolejnemu operatorowi lub organizatorowi (pomniejszonej o wszelką otrzymaną pomoc).</w:t>
            </w:r>
          </w:p>
          <w:p w14:paraId="42C475EB"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pkt I.1.2.4B - pkt I.1.2.4E – należy wypełnić zgodnie z wymogami określonymi w Instrukcji wypełniania wniosku w systemie IGA (patrz str 53 -61). </w:t>
            </w:r>
          </w:p>
          <w:p w14:paraId="05EC9AE8" w14:textId="77777777" w:rsidR="00E82DC0" w:rsidRDefault="00E82DC0" w:rsidP="00E82DC0">
            <w:pPr>
              <w:numPr>
                <w:ilvl w:val="0"/>
                <w:numId w:val="37"/>
              </w:numPr>
              <w:spacing w:line="256" w:lineRule="auto"/>
              <w:contextualSpacing/>
              <w:rPr>
                <w:rFonts w:ascii="Arial" w:eastAsia="Times New Roman" w:hAnsi="Arial" w:cs="Arial"/>
                <w:iCs/>
                <w:sz w:val="24"/>
                <w:szCs w:val="24"/>
                <w:lang w:eastAsia="ar-SA"/>
              </w:rPr>
            </w:pPr>
            <w:r>
              <w:rPr>
                <w:rFonts w:ascii="Arial" w:eastAsia="Times New Roman" w:hAnsi="Arial" w:cs="Arial"/>
                <w:iCs/>
                <w:sz w:val="24"/>
                <w:lang w:eastAsia="ar-SA"/>
              </w:rPr>
              <w:t xml:space="preserve">w części U </w:t>
            </w:r>
            <w:r>
              <w:rPr>
                <w:rFonts w:ascii="Arial" w:eastAsia="Times New Roman" w:hAnsi="Arial" w:cs="Arial"/>
                <w:b/>
                <w:iCs/>
                <w:sz w:val="24"/>
                <w:lang w:eastAsia="ar-SA"/>
              </w:rPr>
              <w:t xml:space="preserve">przedstawić umowę powierzenia oraz </w:t>
            </w:r>
            <w:r>
              <w:rPr>
                <w:rFonts w:ascii="Arial" w:eastAsia="Times New Roman" w:hAnsi="Arial" w:cs="Arial"/>
                <w:b/>
                <w:iCs/>
                <w:sz w:val="24"/>
                <w:szCs w:val="24"/>
                <w:lang w:eastAsia="ar-SA"/>
              </w:rPr>
              <w:t>zgody organizatora na ubieganie się o środki na zakup infrastruktury</w:t>
            </w:r>
            <w:r>
              <w:rPr>
                <w:rFonts w:ascii="Arial" w:eastAsia="Times New Roman" w:hAnsi="Arial" w:cs="Arial"/>
                <w:iCs/>
                <w:sz w:val="24"/>
                <w:szCs w:val="24"/>
                <w:lang w:eastAsia="ar-SA"/>
              </w:rPr>
              <w:t xml:space="preserve"> przez operatora wraz z informacją, że sytuacja ta była przewidziana na etapie powierzenia świadczenia usługi (w przypadku gdy powierzenie nastąpiło w trybie przetargowym konieczne jest wskazanie, że ogłoszenie o postępowaniu zawierało taką informację). Dodatkowo konieczne jest przedstawienie informacji ze strony organizatora w zakresie potwierdzającym, że dofinansowanie nie spowoduje nadmierności rekompensaty. </w:t>
            </w:r>
          </w:p>
          <w:p w14:paraId="60FF6449" w14:textId="77777777" w:rsidR="00E82DC0" w:rsidRDefault="00E82DC0" w:rsidP="00E82DC0">
            <w:pPr>
              <w:numPr>
                <w:ilvl w:val="0"/>
                <w:numId w:val="36"/>
              </w:numPr>
              <w:autoSpaceDE w:val="0"/>
              <w:autoSpaceDN w:val="0"/>
              <w:adjustRightInd w:val="0"/>
              <w:spacing w:after="120" w:line="276" w:lineRule="auto"/>
              <w:rPr>
                <w:rFonts w:ascii="Arial" w:eastAsia="Times New Roman" w:hAnsi="Arial" w:cs="Arial"/>
                <w:b/>
                <w:iCs/>
                <w:sz w:val="24"/>
                <w:szCs w:val="24"/>
                <w:u w:val="single"/>
                <w:lang w:eastAsia="ar-SA"/>
              </w:rPr>
            </w:pPr>
            <w:r>
              <w:rPr>
                <w:rFonts w:ascii="Arial" w:eastAsia="Times New Roman" w:hAnsi="Arial" w:cs="Arial"/>
                <w:b/>
                <w:iCs/>
                <w:sz w:val="24"/>
                <w:szCs w:val="24"/>
                <w:lang w:eastAsia="ar-SA"/>
              </w:rPr>
              <w:t>Operator, który planuje ubiegać się o świadczenie usług</w:t>
            </w:r>
            <w:r>
              <w:rPr>
                <w:rFonts w:ascii="Arial" w:eastAsia="Times New Roman" w:hAnsi="Arial" w:cs="Arial"/>
                <w:iCs/>
                <w:sz w:val="24"/>
                <w:szCs w:val="24"/>
                <w:lang w:eastAsia="ar-SA"/>
              </w:rPr>
              <w:t xml:space="preserve"> w trybie spełniającym kryteria z orzeczenia ws. Altmark Trans Gmbh lub uzyskać bezpośrednie powierzenia świadczenia usług – </w:t>
            </w:r>
            <w:r>
              <w:rPr>
                <w:rFonts w:ascii="Arial" w:eastAsia="Times New Roman" w:hAnsi="Arial" w:cs="Arial"/>
                <w:b/>
                <w:iCs/>
                <w:sz w:val="24"/>
                <w:szCs w:val="24"/>
                <w:u w:val="single"/>
                <w:lang w:eastAsia="ar-SA"/>
              </w:rPr>
              <w:t>nie ma możliwości wsparcia ze środków FEM podmiotu, który nie świadczy usług na moment złożenia wniosku o dofinansowanie;</w:t>
            </w:r>
          </w:p>
          <w:p w14:paraId="40B73297" w14:textId="77777777" w:rsidR="00E82DC0" w:rsidRDefault="00E82DC0" w:rsidP="00E82DC0">
            <w:pPr>
              <w:numPr>
                <w:ilvl w:val="0"/>
                <w:numId w:val="36"/>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b/>
                <w:iCs/>
                <w:sz w:val="24"/>
                <w:szCs w:val="24"/>
                <w:lang w:eastAsia="ar-SA"/>
              </w:rPr>
              <w:t>Operator, który świadczy usługi bezpośrednio powierzone</w:t>
            </w:r>
            <w:r>
              <w:rPr>
                <w:rFonts w:ascii="Arial" w:eastAsia="Times New Roman" w:hAnsi="Arial" w:cs="Arial"/>
                <w:iCs/>
                <w:sz w:val="24"/>
                <w:szCs w:val="24"/>
                <w:lang w:eastAsia="ar-SA"/>
              </w:rPr>
              <w:t>:</w:t>
            </w:r>
          </w:p>
          <w:p w14:paraId="4F1C9E2D"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I.1.1A odznacza TAK (lub częściowo jeżeli w projekcie uwzględniono część nieobjętą pomocą) ;</w:t>
            </w:r>
          </w:p>
          <w:p w14:paraId="17ECFD97"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w pkt I.1.1A powinien odznaczyć NIE i w pkt I.7.1 wykazać,</w:t>
            </w:r>
            <w:r>
              <w:rPr>
                <w:rFonts w:ascii="Calibri" w:hAnsi="Calibri" w:cs="Calibri"/>
                <w:color w:val="000000"/>
                <w:sz w:val="24"/>
                <w:szCs w:val="24"/>
              </w:rPr>
              <w:t xml:space="preserve"> </w:t>
            </w:r>
            <w:r>
              <w:rPr>
                <w:rFonts w:ascii="Arial" w:eastAsia="Times New Roman" w:hAnsi="Arial" w:cs="Arial"/>
                <w:iCs/>
                <w:sz w:val="24"/>
                <w:szCs w:val="24"/>
                <w:lang w:eastAsia="ar-SA"/>
              </w:rPr>
              <w:t>że infrastruktura będzie udostępniana innym podmiotom na równych niedyskryminujących zasadach (jeżeli przewiduje się taką sytuację);</w:t>
            </w:r>
          </w:p>
          <w:p w14:paraId="79C94A24"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pkt I.1.2 jest automatycznie wypełniony (TAK dla wszystkich przesłanek) – nie dotyczy sytuacji gdy dofinansowanie stanowi częściowo pomoc publiczną (wówczas uzasadnienie braku pomocy jest dla części nieobjętej pomocą). </w:t>
            </w:r>
          </w:p>
          <w:p w14:paraId="3A2E4170"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I.2.3B wybrać właściwy rodzaj pomocy oraz przedstawić Formularz informacji przedstawianych przy ubieganiu się o pomoc (wypełniony przez operatora).</w:t>
            </w:r>
          </w:p>
          <w:p w14:paraId="1B9130FE" w14:textId="77777777" w:rsidR="00E82DC0" w:rsidRDefault="00E82DC0" w:rsidP="00E82DC0">
            <w:pPr>
              <w:numPr>
                <w:ilvl w:val="0"/>
                <w:numId w:val="37"/>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pkt I.6.12 przedstawić informacje wymagane zapisami Instrukcji wypełniania wniosku w systemie IGA (patrz str. 74-75) oraz przedstawić dokumenty</w:t>
            </w:r>
            <w:r>
              <w:rPr>
                <w:rFonts w:ascii="Calibri" w:hAnsi="Calibri" w:cs="Calibri"/>
                <w:color w:val="000000"/>
                <w:sz w:val="24"/>
                <w:szCs w:val="24"/>
              </w:rPr>
              <w:t xml:space="preserve"> </w:t>
            </w:r>
            <w:r>
              <w:rPr>
                <w:rFonts w:ascii="Arial" w:eastAsia="Times New Roman" w:hAnsi="Arial" w:cs="Arial"/>
                <w:iCs/>
                <w:sz w:val="24"/>
                <w:szCs w:val="24"/>
                <w:lang w:eastAsia="ar-SA"/>
              </w:rPr>
              <w:t>regulujące kwestię powierzenia świadczenia UOIG. Dodatkowo k</w:t>
            </w:r>
            <w:r>
              <w:rPr>
                <w:rFonts w:ascii="Arial" w:eastAsia="Times New Roman" w:hAnsi="Arial" w:cs="Arial"/>
                <w:iCs/>
                <w:color w:val="000000"/>
                <w:sz w:val="24"/>
                <w:szCs w:val="24"/>
                <w:lang w:eastAsia="ar-SA"/>
              </w:rPr>
              <w:t xml:space="preserve">onieczne jest przedstawienie informacji ze strony organizatora w zakresie potwierdzającym, że dofinansowanie nie spowoduje nadmierności rekompensaty. </w:t>
            </w:r>
          </w:p>
          <w:p w14:paraId="23F08CEB" w14:textId="2E22DA15" w:rsidR="00E82DC0" w:rsidRPr="00630AC0" w:rsidRDefault="00E82DC0" w:rsidP="0069172D">
            <w:pPr>
              <w:tabs>
                <w:tab w:val="left" w:pos="1253"/>
              </w:tabs>
              <w:spacing w:after="120" w:line="276" w:lineRule="auto"/>
              <w:rPr>
                <w:rFonts w:ascii="Arial" w:eastAsia="Calibri" w:hAnsi="Arial" w:cs="Arial"/>
                <w:b/>
                <w:bCs/>
                <w:sz w:val="24"/>
                <w:szCs w:val="24"/>
              </w:rPr>
            </w:pPr>
            <w:r>
              <w:rPr>
                <w:rFonts w:ascii="Arial" w:eastAsia="Times New Roman" w:hAnsi="Arial" w:cs="Arial"/>
                <w:iCs/>
                <w:sz w:val="24"/>
                <w:szCs w:val="24"/>
                <w:lang w:eastAsia="ar-SA"/>
              </w:rPr>
              <w:t>W sytuacji, w której powierzenie jest na okres krótszy niż okres ekonomicznej użyteczności infrastruktury konieczne jest przedstawienie informacji potwierdzających umowa powierzenie przewiduje rozliczenie rekompensaty odpowiadającej niezamortyzowanej wartości zakupionej/wybudowanej w ramach projektu infrastruktury. Rozliczenie obejmować może w szczególności zwrot środków, przekazanie infrastruktury kolejnemu operatorowi lub organizatorowi (pomniejszonej o wszelką otrzymaną pomoc).</w:t>
            </w:r>
          </w:p>
        </w:tc>
      </w:tr>
      <w:tr w:rsidR="00E82DC0" w:rsidRPr="003D5A4C" w14:paraId="015972EB"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4521AAA7" w14:textId="77777777" w:rsidR="00E82DC0" w:rsidRDefault="00E82DC0" w:rsidP="00E82DC0">
            <w:pPr>
              <w:autoSpaceDE w:val="0"/>
              <w:autoSpaceDN w:val="0"/>
              <w:adjustRightInd w:val="0"/>
              <w:rPr>
                <w:rFonts w:ascii="Arial" w:eastAsia="Calibri" w:hAnsi="Arial" w:cs="Arial"/>
                <w:b/>
                <w:sz w:val="24"/>
                <w:szCs w:val="24"/>
              </w:rPr>
            </w:pPr>
            <w:r>
              <w:rPr>
                <w:rFonts w:ascii="Arial" w:eastAsia="Calibri" w:hAnsi="Arial" w:cs="Arial"/>
                <w:b/>
                <w:sz w:val="24"/>
                <w:szCs w:val="24"/>
              </w:rPr>
              <w:lastRenderedPageBreak/>
              <w:t xml:space="preserve">Pkt O.2.7 Inne założenia: </w:t>
            </w:r>
          </w:p>
          <w:p w14:paraId="379CB311" w14:textId="77777777" w:rsidR="00E82DC0" w:rsidRDefault="00E82DC0" w:rsidP="00E82DC0">
            <w:pPr>
              <w:autoSpaceDE w:val="0"/>
              <w:autoSpaceDN w:val="0"/>
              <w:adjustRightInd w:val="0"/>
              <w:rPr>
                <w:rFonts w:ascii="Arial" w:eastAsia="Calibri" w:hAnsi="Arial" w:cs="Arial"/>
                <w:sz w:val="24"/>
                <w:szCs w:val="24"/>
              </w:rPr>
            </w:pPr>
            <w:r>
              <w:rPr>
                <w:rFonts w:ascii="Arial" w:eastAsia="Calibri" w:hAnsi="Arial" w:cs="Arial"/>
                <w:sz w:val="24"/>
                <w:szCs w:val="24"/>
              </w:rPr>
              <w:t xml:space="preserve">W przypadku projektów inwestycyjnych, w których dofinansowanie ma stanowić element wynagrodzenia/rekompensaty na rzecz operatora świadczącego usługi w ogólnym interesie gospodarczym w szczególności w sytuacji świadczenia usług w oparciu o rekompensatę stanowiącą pomoc publiczną na podstawie Decyzji </w:t>
            </w:r>
            <w:r>
              <w:rPr>
                <w:rFonts w:ascii="Arial" w:hAnsi="Arial" w:cs="Arial"/>
                <w:sz w:val="24"/>
                <w:szCs w:val="24"/>
              </w:rPr>
              <w:t>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Pr>
                <w:rFonts w:ascii="Arial" w:eastAsia="Calibri" w:hAnsi="Arial" w:cs="Arial"/>
                <w:sz w:val="24"/>
                <w:szCs w:val="24"/>
              </w:rPr>
              <w:t xml:space="preserve"> koniecznym jest przedstawienie </w:t>
            </w:r>
            <w:r>
              <w:rPr>
                <w:rFonts w:ascii="Arial" w:eastAsia="Calibri" w:hAnsi="Arial" w:cs="Arial"/>
                <w:b/>
                <w:sz w:val="24"/>
                <w:szCs w:val="24"/>
              </w:rPr>
              <w:t>kalkulacji rekompensaty</w:t>
            </w:r>
            <w:r>
              <w:rPr>
                <w:rFonts w:ascii="Arial" w:eastAsia="Calibri" w:hAnsi="Arial" w:cs="Arial"/>
                <w:sz w:val="24"/>
                <w:szCs w:val="24"/>
              </w:rPr>
              <w:t xml:space="preserve"> </w:t>
            </w:r>
            <w:r>
              <w:rPr>
                <w:rFonts w:ascii="Arial" w:eastAsia="Calibri" w:hAnsi="Arial" w:cs="Arial"/>
                <w:b/>
                <w:sz w:val="24"/>
                <w:szCs w:val="24"/>
              </w:rPr>
              <w:t>z uwzględnieniem dofinansowania ze środków FEM</w:t>
            </w:r>
            <w:r>
              <w:rPr>
                <w:rFonts w:ascii="Arial" w:eastAsia="Calibri" w:hAnsi="Arial" w:cs="Arial"/>
                <w:sz w:val="24"/>
                <w:szCs w:val="24"/>
              </w:rPr>
              <w:t xml:space="preserve"> na lata 2021-2027. Kalkulacja winna zostać przeprowadzona w załączniku Analiza Finansowa, arkusz Analizy specyficzne). Jednocześnie we wniosku o dofinansowanie w punkcie O.2.7 koniecznym jest przedstawienie odpowiedniego uzasadnienia i sposobu ustalania wysokości rekompensaty potwierdzających, iż udzielone dofinansowanie nie </w:t>
            </w:r>
            <w:r>
              <w:rPr>
                <w:rFonts w:ascii="Arial" w:eastAsia="Calibri" w:hAnsi="Arial" w:cs="Arial"/>
                <w:sz w:val="24"/>
                <w:szCs w:val="24"/>
              </w:rPr>
              <w:lastRenderedPageBreak/>
              <w:t>spowoduje przekroczenia dopuszczalnego poziomu rekompensaty, o którym mowa m.in. w art. 6 Decyzji.</w:t>
            </w:r>
          </w:p>
          <w:p w14:paraId="23D36F16" w14:textId="1F9188C8" w:rsidR="00E82DC0" w:rsidRDefault="00E82DC0" w:rsidP="00E82DC0">
            <w:pPr>
              <w:tabs>
                <w:tab w:val="left" w:pos="1253"/>
              </w:tabs>
              <w:spacing w:after="120" w:line="276" w:lineRule="auto"/>
              <w:rPr>
                <w:rFonts w:ascii="Arial" w:eastAsia="Times New Roman" w:hAnsi="Arial" w:cs="Arial"/>
                <w:b/>
                <w:iCs/>
                <w:sz w:val="24"/>
                <w:szCs w:val="24"/>
                <w:lang w:eastAsia="ar-SA"/>
              </w:rPr>
            </w:pPr>
            <w:r>
              <w:rPr>
                <w:rFonts w:ascii="Arial" w:eastAsia="Calibri" w:hAnsi="Arial" w:cs="Arial"/>
                <w:sz w:val="24"/>
                <w:szCs w:val="24"/>
              </w:rPr>
              <w:t xml:space="preserve">W przypadku inwestycji związanych ze świadczeniem usług, dla których spełnione są kryteria z orzeczenia ws. Altmark Trans Gmbh koniecznym jest wykazanie, że </w:t>
            </w:r>
            <w:r>
              <w:rPr>
                <w:rFonts w:ascii="Arial" w:eastAsia="Calibri" w:hAnsi="Arial" w:cs="Arial"/>
                <w:b/>
                <w:sz w:val="24"/>
                <w:szCs w:val="24"/>
              </w:rPr>
              <w:t>wynagrodzenie operatora może zostać uzupełnione ze środków dotacji oraz wykazanie w jaki sposób dofinansowanie wpłynie na wysokość rekompensaty</w:t>
            </w:r>
            <w:r>
              <w:rPr>
                <w:rFonts w:ascii="Arial" w:eastAsia="Calibri" w:hAnsi="Arial" w:cs="Arial"/>
                <w:sz w:val="24"/>
                <w:szCs w:val="24"/>
              </w:rPr>
              <w:t>.</w:t>
            </w:r>
            <w:r>
              <w:rPr>
                <w:rFonts w:ascii="Arial" w:eastAsia="Calibri" w:hAnsi="Arial" w:cs="Arial"/>
                <w:b/>
                <w:sz w:val="24"/>
                <w:szCs w:val="24"/>
              </w:rPr>
              <w:t xml:space="preserve">  </w:t>
            </w:r>
          </w:p>
        </w:tc>
      </w:tr>
      <w:tr w:rsidR="000D2D69" w:rsidRPr="003D5A4C" w14:paraId="71AF4910"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C0F7277" w14:textId="77777777" w:rsidR="000D2D69" w:rsidRPr="00EE2427" w:rsidRDefault="000D2D69" w:rsidP="000D2D69">
            <w:pPr>
              <w:spacing w:after="120" w:line="276" w:lineRule="auto"/>
              <w:rPr>
                <w:rFonts w:ascii="Arial" w:eastAsia="Calibri" w:hAnsi="Arial" w:cs="Arial"/>
                <w:b/>
                <w:bCs/>
                <w:sz w:val="24"/>
                <w:szCs w:val="24"/>
              </w:rPr>
            </w:pPr>
            <w:r w:rsidRPr="00EE2427">
              <w:rPr>
                <w:rFonts w:ascii="Arial" w:eastAsia="Calibri" w:hAnsi="Arial" w:cs="Arial"/>
                <w:b/>
                <w:bCs/>
                <w:sz w:val="24"/>
                <w:szCs w:val="24"/>
              </w:rPr>
              <w:lastRenderedPageBreak/>
              <w:t xml:space="preserve">Pkt N.4.Trwałość finansowa </w:t>
            </w:r>
          </w:p>
          <w:p w14:paraId="67A6FB3F" w14:textId="188928BF" w:rsidR="000D2D69" w:rsidRPr="00EE2427" w:rsidRDefault="000D2D69" w:rsidP="000D2D69">
            <w:pPr>
              <w:spacing w:after="120" w:line="276" w:lineRule="auto"/>
              <w:rPr>
                <w:rFonts w:ascii="Arial" w:eastAsia="Calibri" w:hAnsi="Arial" w:cs="Arial"/>
                <w:bCs/>
                <w:sz w:val="24"/>
                <w:szCs w:val="24"/>
              </w:rPr>
            </w:pPr>
            <w:r w:rsidRPr="00EE2427">
              <w:rPr>
                <w:rFonts w:ascii="Arial" w:eastAsia="Calibri" w:hAnsi="Arial" w:cs="Arial"/>
                <w:bCs/>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C018CB0" w14:textId="77777777" w:rsidR="000D2D69" w:rsidRPr="00EE2427" w:rsidRDefault="000D2D69" w:rsidP="000D2D69">
            <w:pPr>
              <w:spacing w:after="120" w:line="276" w:lineRule="auto"/>
              <w:rPr>
                <w:rFonts w:ascii="Arial" w:eastAsia="Calibri" w:hAnsi="Arial" w:cs="Arial"/>
                <w:bCs/>
                <w:sz w:val="24"/>
                <w:szCs w:val="24"/>
              </w:rPr>
            </w:pPr>
            <w:r w:rsidRPr="00EE2427">
              <w:rPr>
                <w:rFonts w:ascii="Arial" w:eastAsia="Calibri" w:hAnsi="Arial" w:cs="Arial"/>
                <w:bCs/>
                <w:sz w:val="24"/>
                <w:szCs w:val="24"/>
              </w:rPr>
              <w:t>Odpowiednie informacje przedstawić należy w podziale na fazę realizacji (pkt. N.4.1) oraz fazę eksploatacji (pkt. N.4.2).</w:t>
            </w:r>
          </w:p>
          <w:p w14:paraId="75CDC298" w14:textId="327EE586" w:rsidR="000D2D69" w:rsidRPr="00630AC0" w:rsidRDefault="000D2D69" w:rsidP="000D2D69">
            <w:pPr>
              <w:spacing w:after="120" w:line="276" w:lineRule="auto"/>
              <w:rPr>
                <w:rFonts w:ascii="Arial" w:eastAsia="Calibri" w:hAnsi="Arial" w:cs="Arial"/>
                <w:b/>
                <w:bCs/>
                <w:sz w:val="24"/>
                <w:szCs w:val="24"/>
              </w:rPr>
            </w:pPr>
            <w:r w:rsidRPr="00EE2427">
              <w:rPr>
                <w:rFonts w:ascii="Arial" w:eastAsia="Calibri" w:hAnsi="Arial" w:cs="Arial"/>
                <w:bCs/>
                <w:sz w:val="24"/>
                <w:szCs w:val="24"/>
              </w:rPr>
              <w:t>W przypadku zaistnienia wątpliwości IZ zastrzega sobie prawo do zwrócenia się do Wnioskodawcy o przedłożenie innych niezbędnych dokumentów i/lub dodatkowych wyjaśnień.</w:t>
            </w:r>
          </w:p>
        </w:tc>
      </w:tr>
      <w:tr w:rsidR="00BC1C8A" w:rsidRPr="003D5A4C" w14:paraId="15FE3523" w14:textId="77777777" w:rsidTr="00740D19">
        <w:tc>
          <w:tcPr>
            <w:tcW w:w="9062" w:type="dxa"/>
            <w:tcBorders>
              <w:top w:val="single" w:sz="2" w:space="0" w:color="auto"/>
              <w:left w:val="single" w:sz="2" w:space="0" w:color="auto"/>
              <w:bottom w:val="single" w:sz="2" w:space="0" w:color="auto"/>
              <w:right w:val="single" w:sz="2" w:space="0" w:color="auto"/>
            </w:tcBorders>
          </w:tcPr>
          <w:p w14:paraId="3B0A56F6" w14:textId="77777777" w:rsidR="00BC1C8A" w:rsidRDefault="00BC1C8A" w:rsidP="00BC1C8A">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U Informacje specyficzne</w:t>
            </w:r>
          </w:p>
          <w:p w14:paraId="16B6E22D" w14:textId="77777777" w:rsidR="00BC1C8A" w:rsidRDefault="00BC1C8A" w:rsidP="00BC1C8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wskazać czy projekt będzie realizowany na terenie gminy górniczej.</w:t>
            </w:r>
          </w:p>
          <w:p w14:paraId="1584780D" w14:textId="010FA4C7" w:rsidR="00BC1C8A" w:rsidRPr="004B0442" w:rsidRDefault="00BC1C8A" w:rsidP="00BC1C8A">
            <w:pPr>
              <w:spacing w:after="120" w:line="276" w:lineRule="auto"/>
              <w:rPr>
                <w:rFonts w:ascii="Arial" w:eastAsia="Calibri" w:hAnsi="Arial" w:cs="Arial"/>
                <w:sz w:val="24"/>
                <w:szCs w:val="24"/>
              </w:rPr>
            </w:pPr>
            <w:r>
              <w:rPr>
                <w:rFonts w:ascii="Arial" w:eastAsia="Times New Roman" w:hAnsi="Arial" w:cs="Arial"/>
                <w:iCs/>
                <w:sz w:val="24"/>
                <w:szCs w:val="24"/>
                <w:lang w:eastAsia="ar-SA"/>
              </w:rPr>
              <w:t>Lista gmin górniczych z terenu Małopolski Zachodniej zostanie wskazana w Regulaminie wyboru projektów.</w:t>
            </w:r>
            <w:r>
              <w:rPr>
                <w:rFonts w:ascii="Arial" w:eastAsia="Times New Roman" w:hAnsi="Arial" w:cs="Arial"/>
                <w:b/>
                <w:iCs/>
                <w:sz w:val="24"/>
                <w:szCs w:val="24"/>
                <w:lang w:eastAsia="ar-SA"/>
              </w:rPr>
              <w:t xml:space="preserve"> </w:t>
            </w:r>
          </w:p>
        </w:tc>
      </w:tr>
      <w:tr w:rsidR="00BC1C8A" w:rsidRPr="003D5A4C" w14:paraId="0799B92E" w14:textId="77777777" w:rsidTr="00740D19">
        <w:tc>
          <w:tcPr>
            <w:tcW w:w="9062" w:type="dxa"/>
            <w:tcBorders>
              <w:top w:val="single" w:sz="2" w:space="0" w:color="auto"/>
              <w:left w:val="single" w:sz="2" w:space="0" w:color="auto"/>
              <w:bottom w:val="single" w:sz="2" w:space="0" w:color="auto"/>
              <w:right w:val="single" w:sz="2" w:space="0" w:color="auto"/>
            </w:tcBorders>
          </w:tcPr>
          <w:p w14:paraId="50312442" w14:textId="77777777" w:rsidR="00BC1C8A" w:rsidRDefault="00BC1C8A" w:rsidP="00BC1C8A">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U Informacje specyficzne</w:t>
            </w:r>
          </w:p>
          <w:p w14:paraId="46DF8262" w14:textId="0848DA23" w:rsidR="00BC1C8A" w:rsidRPr="004B0442" w:rsidRDefault="00BC1C8A" w:rsidP="00BC1C8A">
            <w:pPr>
              <w:spacing w:after="240" w:line="276" w:lineRule="auto"/>
              <w:rPr>
                <w:rFonts w:ascii="Arial" w:eastAsia="Calibri" w:hAnsi="Arial" w:cs="Arial"/>
                <w:b/>
                <w:bCs/>
                <w:sz w:val="24"/>
                <w:szCs w:val="24"/>
              </w:rPr>
            </w:pPr>
            <w:r>
              <w:rPr>
                <w:rFonts w:ascii="Arial" w:eastAsia="Times New Roman" w:hAnsi="Arial" w:cs="Arial"/>
                <w:iCs/>
                <w:sz w:val="24"/>
                <w:szCs w:val="24"/>
                <w:lang w:eastAsia="ar-SA"/>
              </w:rPr>
              <w:t xml:space="preserve">Należ wskazać czy projekt ma charakter międzyregionalny lub transnarodowy tj. polega na sieciowaniu, wymianie doświadczeń, know-how, zapoznaniu się z przykładami dobrych praktyk w zakresie poprawy efektywności energetycznej budynków. </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EA6743">
      <w:pPr>
        <w:pStyle w:val="Nagwek2"/>
        <w:numPr>
          <w:ilvl w:val="0"/>
          <w:numId w:val="27"/>
        </w:numPr>
        <w:sectPr w:rsidR="00F97B71" w:rsidSect="00A07FB2">
          <w:footerReference w:type="default" r:id="rId9"/>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EA6743">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EA6743">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EA6743">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EA6743">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EA6743">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EA6743">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3EF8687C" w:rsidR="00923DE8" w:rsidRPr="00E4505B" w:rsidRDefault="00923DE8" w:rsidP="00FF0AE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FF0AED">
              <w:rPr>
                <w:rFonts w:ascii="Arial" w:hAnsi="Arial" w:cs="Arial"/>
                <w:sz w:val="24"/>
                <w:szCs w:val="24"/>
              </w:rPr>
              <w:t>3</w:t>
            </w:r>
            <w:r w:rsidR="005D157C">
              <w:rPr>
                <w:rFonts w:ascii="Arial" w:hAnsi="Arial" w:cs="Arial"/>
                <w:sz w:val="24"/>
                <w:szCs w:val="24"/>
              </w:rPr>
              <w:t xml:space="preserve">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EA6743">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44533094" w:rsidR="003007FB" w:rsidRDefault="003007FB" w:rsidP="00EA6743">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FF0AED">
              <w:rPr>
                <w:rFonts w:ascii="Arial" w:hAnsi="Arial" w:cs="Arial"/>
                <w:sz w:val="24"/>
                <w:szCs w:val="24"/>
              </w:rPr>
              <w:t>3</w:t>
            </w:r>
            <w:r w:rsidR="005D157C">
              <w:rPr>
                <w:rFonts w:ascii="Arial" w:hAnsi="Arial" w:cs="Arial"/>
                <w:sz w:val="24"/>
                <w:szCs w:val="24"/>
              </w:rPr>
              <w:t>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26499FF7" w:rsidR="00923DE8" w:rsidRPr="00E4505B" w:rsidRDefault="00923DE8" w:rsidP="00EA6743">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FF0AED">
              <w:rPr>
                <w:rFonts w:ascii="Arial" w:hAnsi="Arial" w:cs="Arial"/>
                <w:sz w:val="24"/>
                <w:szCs w:val="24"/>
              </w:rPr>
              <w:t>3</w:t>
            </w:r>
            <w:r w:rsidR="005D157C">
              <w:rPr>
                <w:rFonts w:ascii="Arial" w:hAnsi="Arial" w:cs="Arial"/>
                <w:sz w:val="24"/>
                <w:szCs w:val="24"/>
              </w:rPr>
              <w:t>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EA6743">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EA6743">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B44006A" w14:textId="330D0D7B" w:rsidR="00596335" w:rsidRPr="006C58FE"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1"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16CAE74D" w14:textId="77777777" w:rsidR="00596335" w:rsidRPr="00511627" w:rsidRDefault="00596335" w:rsidP="00EA6743">
            <w:pPr>
              <w:pStyle w:val="Akapitzlist"/>
              <w:numPr>
                <w:ilvl w:val="0"/>
                <w:numId w:val="11"/>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2AD0D034" w14:textId="1EFC5A55" w:rsidR="00596335" w:rsidRPr="00362733" w:rsidRDefault="00596335" w:rsidP="00EA6743">
            <w:pPr>
              <w:pStyle w:val="Akapitzlist"/>
              <w:numPr>
                <w:ilvl w:val="0"/>
                <w:numId w:val="12"/>
              </w:numPr>
              <w:spacing w:line="276" w:lineRule="auto"/>
              <w:contextualSpacing w:val="0"/>
              <w:rPr>
                <w:rFonts w:ascii="Arial" w:hAnsi="Arial" w:cs="Arial"/>
                <w:sz w:val="24"/>
                <w:szCs w:val="24"/>
              </w:rPr>
            </w:pPr>
            <w:r w:rsidRPr="00511627">
              <w:rPr>
                <w:rFonts w:ascii="Arial" w:hAnsi="Arial" w:cs="Arial"/>
                <w:sz w:val="24"/>
                <w:szCs w:val="24"/>
              </w:rPr>
              <w:t>przed podpisaniem Umo</w:t>
            </w:r>
            <w:r w:rsidR="00FF0AED">
              <w:rPr>
                <w:rFonts w:ascii="Arial" w:hAnsi="Arial" w:cs="Arial"/>
                <w:sz w:val="24"/>
                <w:szCs w:val="24"/>
              </w:rPr>
              <w:t>wy/ Uchwały/ Porozumienia – do 3</w:t>
            </w:r>
            <w:r w:rsidRPr="00511627">
              <w:rPr>
                <w:rFonts w:ascii="Arial" w:hAnsi="Arial" w:cs="Arial"/>
                <w:sz w:val="24"/>
                <w:szCs w:val="24"/>
              </w:rPr>
              <w:t>0 dni od dnia wyboru projektu do dofinansowania</w:t>
            </w:r>
          </w:p>
        </w:tc>
      </w:tr>
      <w:tr w:rsidR="00923DE8" w14:paraId="3643886B" w14:textId="77777777" w:rsidTr="00F97B71">
        <w:tc>
          <w:tcPr>
            <w:tcW w:w="643" w:type="dxa"/>
          </w:tcPr>
          <w:p w14:paraId="2EEACD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EA6743">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3D7133EF" w:rsidR="00923DE8" w:rsidRPr="00E4505B" w:rsidRDefault="00923DE8" w:rsidP="00EA6743">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FF0AED">
              <w:rPr>
                <w:rFonts w:ascii="Arial" w:hAnsi="Arial" w:cs="Arial"/>
                <w:sz w:val="24"/>
                <w:szCs w:val="24"/>
              </w:rPr>
              <w:t>3</w:t>
            </w:r>
            <w:r w:rsidR="005D157C">
              <w:rPr>
                <w:rFonts w:ascii="Arial" w:hAnsi="Arial" w:cs="Arial"/>
                <w:sz w:val="24"/>
                <w:szCs w:val="24"/>
              </w:rPr>
              <w:t>0</w:t>
            </w:r>
            <w:r w:rsidR="005D157C"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EA6743">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EA6743">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EA6743">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xml:space="preserve">/ decyzje </w:t>
            </w:r>
            <w:r w:rsidRPr="003B0135">
              <w:rPr>
                <w:rFonts w:ascii="Arial" w:hAnsi="Arial" w:cs="Arial"/>
                <w:sz w:val="24"/>
                <w:szCs w:val="24"/>
              </w:rPr>
              <w:lastRenderedPageBreak/>
              <w:t>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405D567" w14:textId="3ED898E0" w:rsidR="005D157C" w:rsidRPr="005D157C" w:rsidRDefault="00B27B10" w:rsidP="00EA6743">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lastRenderedPageBreak/>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EA6743">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EA6743">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lastRenderedPageBreak/>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EA6743">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EA6743">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EA6743">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 xml:space="preserve">Jednostki sektora finansów publicznych zwolnione są z obowiązku przedkładania dokumentów potwierdzających zabezpieczenie </w:t>
            </w:r>
            <w:r w:rsidRPr="00ED2EEF">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EA6743">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5AF084C9" w14:textId="169AD1C5" w:rsidR="00923DE8" w:rsidRPr="00E4505B" w:rsidRDefault="00923DE8" w:rsidP="00EA6743">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FF0AED">
              <w:rPr>
                <w:rFonts w:ascii="Arial" w:hAnsi="Arial" w:cs="Arial"/>
                <w:sz w:val="24"/>
                <w:szCs w:val="24"/>
              </w:rPr>
              <w:t>3</w:t>
            </w:r>
            <w:r w:rsidR="005D157C">
              <w:rPr>
                <w:rFonts w:ascii="Arial" w:hAnsi="Arial" w:cs="Arial"/>
                <w:sz w:val="24"/>
                <w:szCs w:val="24"/>
              </w:rPr>
              <w:t>0</w:t>
            </w:r>
            <w:r w:rsidR="005D157C"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EA6743">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072A048F" w:rsidR="007A4890"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lastRenderedPageBreak/>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3EEB2EB8" w14:textId="77777777" w:rsidR="000D2D69" w:rsidRPr="00083977" w:rsidRDefault="000D2D69" w:rsidP="000D2D69">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w:t>
            </w:r>
            <w:r w:rsidRPr="00B606C6">
              <w:rPr>
                <w:rFonts w:ascii="Arial" w:hAnsi="Arial" w:cs="Arial"/>
                <w:i/>
                <w:sz w:val="24"/>
                <w:szCs w:val="24"/>
              </w:rPr>
              <w:lastRenderedPageBreak/>
              <w:t>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EA6743">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lastRenderedPageBreak/>
              <w:t>Ocena merytoryczna (jeśli dotyczy)</w:t>
            </w:r>
          </w:p>
        </w:tc>
      </w:tr>
      <w:tr w:rsidR="00ED2EEF" w14:paraId="3AC2D865" w14:textId="77777777" w:rsidTr="00F97B71">
        <w:tc>
          <w:tcPr>
            <w:tcW w:w="643" w:type="dxa"/>
          </w:tcPr>
          <w:p w14:paraId="5ABCE838" w14:textId="77777777" w:rsidR="00ED2EEF" w:rsidRPr="00E4505B" w:rsidRDefault="00ED2EEF" w:rsidP="00EA6743">
            <w:pPr>
              <w:pStyle w:val="Akapitzlist"/>
              <w:numPr>
                <w:ilvl w:val="0"/>
                <w:numId w:val="20"/>
              </w:numPr>
              <w:spacing w:line="276" w:lineRule="auto"/>
              <w:contextualSpacing w:val="0"/>
              <w:rPr>
                <w:rFonts w:ascii="Arial" w:hAnsi="Arial" w:cs="Arial"/>
                <w:sz w:val="24"/>
                <w:szCs w:val="24"/>
              </w:rPr>
            </w:pPr>
          </w:p>
        </w:tc>
        <w:tc>
          <w:tcPr>
            <w:tcW w:w="7437" w:type="dxa"/>
          </w:tcPr>
          <w:p w14:paraId="1C2596E5" w14:textId="3818129B" w:rsidR="00EF053B" w:rsidRDefault="00EF053B" w:rsidP="00482BF7">
            <w:pPr>
              <w:pStyle w:val="Akapitzlist"/>
              <w:spacing w:line="276" w:lineRule="auto"/>
              <w:ind w:left="0"/>
              <w:contextualSpacing w:val="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sidR="00222C96">
              <w:rPr>
                <w:rFonts w:ascii="Arial" w:hAnsi="Arial" w:cs="Arial"/>
                <w:sz w:val="24"/>
                <w:szCs w:val="24"/>
              </w:rPr>
              <w:t xml:space="preserve">. </w:t>
            </w:r>
            <w:r w:rsidR="00222C96"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691A8DE7" w14:textId="77777777" w:rsidR="00ED2EEF" w:rsidRDefault="00ED2EEF" w:rsidP="00EA6743">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t>Wraz z wnioskiem o dofinansowanie projektu</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rsidP="00EA6743">
      <w:pPr>
        <w:pStyle w:val="Nagwek2"/>
        <w:numPr>
          <w:ilvl w:val="0"/>
          <w:numId w:val="20"/>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EA6743">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EA6743">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EA6743">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EA6743">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75571CC"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EA6743">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EA674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2B915B2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433158DD" w:rsidR="00E606F0" w:rsidRDefault="00E606F0" w:rsidP="00FF0AED">
      <w:pPr>
        <w:spacing w:before="120" w:after="600" w:line="240" w:lineRule="auto"/>
        <w:rPr>
          <w:rFonts w:ascii="Arial" w:hAnsi="Arial" w:cs="Arial"/>
          <w:sz w:val="24"/>
          <w:szCs w:val="24"/>
        </w:rPr>
      </w:pPr>
      <w:r>
        <w:rPr>
          <w:rFonts w:ascii="Arial" w:hAnsi="Arial" w:cs="Arial"/>
          <w:sz w:val="24"/>
          <w:szCs w:val="24"/>
        </w:rPr>
        <w:t>J</w:t>
      </w:r>
      <w:r w:rsidRPr="00E606F0">
        <w:rPr>
          <w:rFonts w:ascii="Arial" w:hAnsi="Arial" w:cs="Arial"/>
          <w:sz w:val="24"/>
          <w:szCs w:val="24"/>
        </w:rPr>
        <w:t>estem świadomy/ świadoma odpowiedzialności karnej za złożenie fałszywych oświadczeń</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487BCCB9"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596335" w:rsidRDefault="00596335" w:rsidP="00A07FB2">
      <w:pPr>
        <w:spacing w:after="0" w:line="240" w:lineRule="auto"/>
      </w:pPr>
      <w:r>
        <w:separator/>
      </w:r>
    </w:p>
  </w:endnote>
  <w:endnote w:type="continuationSeparator" w:id="0">
    <w:p w14:paraId="135E6E50" w14:textId="77777777" w:rsidR="00596335" w:rsidRDefault="0059633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1495FA0B" w:rsidR="00596335" w:rsidRDefault="00596335">
        <w:pPr>
          <w:pStyle w:val="Stopka"/>
          <w:jc w:val="center"/>
        </w:pPr>
        <w:r>
          <w:fldChar w:fldCharType="begin"/>
        </w:r>
        <w:r>
          <w:instrText>PAGE   \* MERGEFORMAT</w:instrText>
        </w:r>
        <w:r>
          <w:fldChar w:fldCharType="separate"/>
        </w:r>
        <w:r w:rsidR="00CB3362">
          <w:rPr>
            <w:noProof/>
          </w:rPr>
          <w:t>1</w:t>
        </w:r>
        <w:r>
          <w:fldChar w:fldCharType="end"/>
        </w:r>
      </w:p>
    </w:sdtContent>
  </w:sdt>
  <w:p w14:paraId="16EA18CF" w14:textId="77777777" w:rsidR="00596335" w:rsidRDefault="00596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596335" w:rsidRDefault="00596335" w:rsidP="00A07FB2">
      <w:pPr>
        <w:spacing w:after="0" w:line="240" w:lineRule="auto"/>
      </w:pPr>
      <w:r>
        <w:separator/>
      </w:r>
    </w:p>
  </w:footnote>
  <w:footnote w:type="continuationSeparator" w:id="0">
    <w:p w14:paraId="68CEADA6" w14:textId="77777777" w:rsidR="00596335" w:rsidRDefault="00596335" w:rsidP="00A07FB2">
      <w:pPr>
        <w:spacing w:after="0" w:line="240" w:lineRule="auto"/>
      </w:pPr>
      <w:r>
        <w:continuationSeparator/>
      </w:r>
    </w:p>
  </w:footnote>
  <w:footnote w:id="1">
    <w:p w14:paraId="2E2BB18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5D456A5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B0C981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D329A92"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59609713"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69908B0B" w14:textId="77777777" w:rsidR="00596335" w:rsidRPr="0004312A" w:rsidRDefault="00596335"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9330859" w14:textId="77777777" w:rsidR="00596335" w:rsidRDefault="00596335" w:rsidP="002255E8">
      <w:pPr>
        <w:pStyle w:val="Tekstprzypisudolnego"/>
      </w:pPr>
      <w:r w:rsidRPr="00175949">
        <w:rPr>
          <w:rStyle w:val="Odwoanieprzypisudolnego"/>
          <w:sz w:val="22"/>
        </w:rPr>
        <w:footnoteRef/>
      </w:r>
      <w:r w:rsidRPr="00175949">
        <w:rPr>
          <w:sz w:val="22"/>
        </w:rPr>
        <w:t xml:space="preserve"> Niepotrzebne skreślić</w:t>
      </w:r>
    </w:p>
  </w:footnote>
  <w:footnote w:id="8">
    <w:p w14:paraId="65D438FD"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199B290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70812F87"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27094D46"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2AE63A6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5D5ADE80" w14:textId="77777777" w:rsidR="00596335" w:rsidRDefault="00596335"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D3FE1"/>
    <w:multiLevelType w:val="hybridMultilevel"/>
    <w:tmpl w:val="CA42C6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C671DF"/>
    <w:multiLevelType w:val="hybridMultilevel"/>
    <w:tmpl w:val="2B42F0FC"/>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6" w15:restartNumberingAfterBreak="0">
    <w:nsid w:val="1A1E3261"/>
    <w:multiLevelType w:val="hybridMultilevel"/>
    <w:tmpl w:val="53788202"/>
    <w:lvl w:ilvl="0" w:tplc="70A272F4">
      <w:start w:val="1"/>
      <w:numFmt w:val="lowerLetter"/>
      <w:lvlText w:val="%1)"/>
      <w:lvlJc w:val="left"/>
      <w:pPr>
        <w:ind w:left="673" w:hanging="360"/>
      </w:pPr>
    </w:lvl>
    <w:lvl w:ilvl="1" w:tplc="04150019">
      <w:start w:val="1"/>
      <w:numFmt w:val="lowerLetter"/>
      <w:lvlText w:val="%2."/>
      <w:lvlJc w:val="left"/>
      <w:pPr>
        <w:ind w:left="1393" w:hanging="360"/>
      </w:pPr>
    </w:lvl>
    <w:lvl w:ilvl="2" w:tplc="0415001B">
      <w:start w:val="1"/>
      <w:numFmt w:val="lowerRoman"/>
      <w:lvlText w:val="%3."/>
      <w:lvlJc w:val="right"/>
      <w:pPr>
        <w:ind w:left="2113" w:hanging="180"/>
      </w:pPr>
    </w:lvl>
    <w:lvl w:ilvl="3" w:tplc="0415000F">
      <w:start w:val="1"/>
      <w:numFmt w:val="decimal"/>
      <w:lvlText w:val="%4."/>
      <w:lvlJc w:val="left"/>
      <w:pPr>
        <w:ind w:left="2833" w:hanging="360"/>
      </w:pPr>
    </w:lvl>
    <w:lvl w:ilvl="4" w:tplc="04150019">
      <w:start w:val="1"/>
      <w:numFmt w:val="lowerLetter"/>
      <w:lvlText w:val="%5."/>
      <w:lvlJc w:val="left"/>
      <w:pPr>
        <w:ind w:left="3553" w:hanging="360"/>
      </w:pPr>
    </w:lvl>
    <w:lvl w:ilvl="5" w:tplc="0415001B">
      <w:start w:val="1"/>
      <w:numFmt w:val="lowerRoman"/>
      <w:lvlText w:val="%6."/>
      <w:lvlJc w:val="right"/>
      <w:pPr>
        <w:ind w:left="4273" w:hanging="180"/>
      </w:pPr>
    </w:lvl>
    <w:lvl w:ilvl="6" w:tplc="0415000F">
      <w:start w:val="1"/>
      <w:numFmt w:val="decimal"/>
      <w:lvlText w:val="%7."/>
      <w:lvlJc w:val="left"/>
      <w:pPr>
        <w:ind w:left="4993" w:hanging="360"/>
      </w:pPr>
    </w:lvl>
    <w:lvl w:ilvl="7" w:tplc="04150019">
      <w:start w:val="1"/>
      <w:numFmt w:val="lowerLetter"/>
      <w:lvlText w:val="%8."/>
      <w:lvlJc w:val="left"/>
      <w:pPr>
        <w:ind w:left="5713" w:hanging="360"/>
      </w:pPr>
    </w:lvl>
    <w:lvl w:ilvl="8" w:tplc="0415001B">
      <w:start w:val="1"/>
      <w:numFmt w:val="lowerRoman"/>
      <w:lvlText w:val="%9."/>
      <w:lvlJc w:val="right"/>
      <w:pPr>
        <w:ind w:left="6433" w:hanging="180"/>
      </w:pPr>
    </w:lvl>
  </w:abstractNum>
  <w:abstractNum w:abstractNumId="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E8C4949"/>
    <w:multiLevelType w:val="hybridMultilevel"/>
    <w:tmpl w:val="4A28541A"/>
    <w:lvl w:ilvl="0" w:tplc="CDB07DCA">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00D7853"/>
    <w:multiLevelType w:val="hybridMultilevel"/>
    <w:tmpl w:val="178E14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654165"/>
    <w:multiLevelType w:val="multilevel"/>
    <w:tmpl w:val="98BAA0A4"/>
    <w:lvl w:ilvl="0">
      <w:start w:val="1"/>
      <w:numFmt w:val="decimal"/>
      <w:lvlText w:val="%1."/>
      <w:lvlJc w:val="left"/>
      <w:pPr>
        <w:ind w:left="360" w:hanging="360"/>
      </w:pPr>
      <w:rPr>
        <w:b w:val="0"/>
        <w:i w:val="0"/>
        <w:color w:val="auto"/>
      </w:rPr>
    </w:lvl>
    <w:lvl w:ilvl="1">
      <w:start w:val="7"/>
      <w:numFmt w:val="decimal"/>
      <w:lvlText w:val="%1.%2"/>
      <w:lvlJc w:val="left"/>
      <w:pPr>
        <w:ind w:left="1425" w:hanging="70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2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0433942"/>
    <w:multiLevelType w:val="hybridMultilevel"/>
    <w:tmpl w:val="CDFCC3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6C1CE4"/>
    <w:multiLevelType w:val="hybridMultilevel"/>
    <w:tmpl w:val="8ADEF386"/>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34"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0"/>
  </w:num>
  <w:num w:numId="4">
    <w:abstractNumId w:val="34"/>
  </w:num>
  <w:num w:numId="5">
    <w:abstractNumId w:val="35"/>
  </w:num>
  <w:num w:numId="6">
    <w:abstractNumId w:val="25"/>
  </w:num>
  <w:num w:numId="7">
    <w:abstractNumId w:val="14"/>
  </w:num>
  <w:num w:numId="8">
    <w:abstractNumId w:val="30"/>
  </w:num>
  <w:num w:numId="9">
    <w:abstractNumId w:val="19"/>
  </w:num>
  <w:num w:numId="10">
    <w:abstractNumId w:val="21"/>
  </w:num>
  <w:num w:numId="11">
    <w:abstractNumId w:val="36"/>
  </w:num>
  <w:num w:numId="12">
    <w:abstractNumId w:val="16"/>
  </w:num>
  <w:num w:numId="13">
    <w:abstractNumId w:val="29"/>
  </w:num>
  <w:num w:numId="14">
    <w:abstractNumId w:val="1"/>
  </w:num>
  <w:num w:numId="15">
    <w:abstractNumId w:val="28"/>
  </w:num>
  <w:num w:numId="16">
    <w:abstractNumId w:val="11"/>
  </w:num>
  <w:num w:numId="17">
    <w:abstractNumId w:val="7"/>
  </w:num>
  <w:num w:numId="18">
    <w:abstractNumId w:val="12"/>
  </w:num>
  <w:num w:numId="19">
    <w:abstractNumId w:val="9"/>
  </w:num>
  <w:num w:numId="20">
    <w:abstractNumId w:val="27"/>
  </w:num>
  <w:num w:numId="21">
    <w:abstractNumId w:val="17"/>
  </w:num>
  <w:num w:numId="22">
    <w:abstractNumId w:val="3"/>
  </w:num>
  <w:num w:numId="23">
    <w:abstractNumId w:val="10"/>
  </w:num>
  <w:num w:numId="24">
    <w:abstractNumId w:val="22"/>
  </w:num>
  <w:num w:numId="25">
    <w:abstractNumId w:val="31"/>
  </w:num>
  <w:num w:numId="26">
    <w:abstractNumId w:val="8"/>
  </w:num>
  <w:num w:numId="27">
    <w:abstractNumId w:val="23"/>
  </w:num>
  <w:num w:numId="28">
    <w:abstractNumId w:val="20"/>
  </w:num>
  <w:num w:numId="29">
    <w:abstractNumId w:val="32"/>
  </w:num>
  <w:num w:numId="30">
    <w:abstractNumId w:val="33"/>
  </w:num>
  <w:num w:numId="31">
    <w:abstractNumId w:val="5"/>
  </w:num>
  <w:num w:numId="32">
    <w:abstractNumId w:val="18"/>
  </w:num>
  <w:num w:numId="33">
    <w:abstractNumId w:val="24"/>
  </w:num>
  <w:num w:numId="34">
    <w:abstractNumId w:val="1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3977"/>
    <w:rsid w:val="0008435F"/>
    <w:rsid w:val="00087515"/>
    <w:rsid w:val="0009462F"/>
    <w:rsid w:val="00097589"/>
    <w:rsid w:val="00097C70"/>
    <w:rsid w:val="000A09B7"/>
    <w:rsid w:val="000A4B6F"/>
    <w:rsid w:val="000A7F08"/>
    <w:rsid w:val="000B04C8"/>
    <w:rsid w:val="000B1DB2"/>
    <w:rsid w:val="000C1BC8"/>
    <w:rsid w:val="000C7A1D"/>
    <w:rsid w:val="000D2D69"/>
    <w:rsid w:val="000D4D9B"/>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7A7"/>
    <w:rsid w:val="001A397C"/>
    <w:rsid w:val="001A76BC"/>
    <w:rsid w:val="001B5681"/>
    <w:rsid w:val="001C4C64"/>
    <w:rsid w:val="001D44C7"/>
    <w:rsid w:val="001D5550"/>
    <w:rsid w:val="001E0E88"/>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D0B0E"/>
    <w:rsid w:val="002D29A0"/>
    <w:rsid w:val="002D3DFB"/>
    <w:rsid w:val="002D7741"/>
    <w:rsid w:val="002E3A0C"/>
    <w:rsid w:val="002E42E5"/>
    <w:rsid w:val="002E752E"/>
    <w:rsid w:val="002F014C"/>
    <w:rsid w:val="002F3178"/>
    <w:rsid w:val="002F6BFC"/>
    <w:rsid w:val="003007FB"/>
    <w:rsid w:val="003131A9"/>
    <w:rsid w:val="00317DF0"/>
    <w:rsid w:val="003211B3"/>
    <w:rsid w:val="00330B5C"/>
    <w:rsid w:val="0033421C"/>
    <w:rsid w:val="0033574F"/>
    <w:rsid w:val="003361F0"/>
    <w:rsid w:val="00337F14"/>
    <w:rsid w:val="003454AB"/>
    <w:rsid w:val="00346C8E"/>
    <w:rsid w:val="00350BCA"/>
    <w:rsid w:val="00356213"/>
    <w:rsid w:val="003576A5"/>
    <w:rsid w:val="003624AA"/>
    <w:rsid w:val="00362733"/>
    <w:rsid w:val="00366D64"/>
    <w:rsid w:val="00374916"/>
    <w:rsid w:val="00375416"/>
    <w:rsid w:val="0037621F"/>
    <w:rsid w:val="003812C8"/>
    <w:rsid w:val="00381F2B"/>
    <w:rsid w:val="00384E79"/>
    <w:rsid w:val="00384FE4"/>
    <w:rsid w:val="00385541"/>
    <w:rsid w:val="003858DB"/>
    <w:rsid w:val="00390E64"/>
    <w:rsid w:val="00392240"/>
    <w:rsid w:val="003950EA"/>
    <w:rsid w:val="00395459"/>
    <w:rsid w:val="003A2C7D"/>
    <w:rsid w:val="003A4093"/>
    <w:rsid w:val="003A4C31"/>
    <w:rsid w:val="003A536A"/>
    <w:rsid w:val="003A6533"/>
    <w:rsid w:val="003B1B4D"/>
    <w:rsid w:val="003B39AB"/>
    <w:rsid w:val="003D29F9"/>
    <w:rsid w:val="003D5A4C"/>
    <w:rsid w:val="003E0E86"/>
    <w:rsid w:val="003E1623"/>
    <w:rsid w:val="003E2FF5"/>
    <w:rsid w:val="003E327D"/>
    <w:rsid w:val="003E3643"/>
    <w:rsid w:val="003F0381"/>
    <w:rsid w:val="003F148B"/>
    <w:rsid w:val="003F154D"/>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7166"/>
    <w:rsid w:val="00452E3F"/>
    <w:rsid w:val="00453366"/>
    <w:rsid w:val="00454415"/>
    <w:rsid w:val="004618F3"/>
    <w:rsid w:val="0046473D"/>
    <w:rsid w:val="00465952"/>
    <w:rsid w:val="00477EBA"/>
    <w:rsid w:val="0048295C"/>
    <w:rsid w:val="00482BF7"/>
    <w:rsid w:val="00490004"/>
    <w:rsid w:val="00493D45"/>
    <w:rsid w:val="00493DD3"/>
    <w:rsid w:val="00497079"/>
    <w:rsid w:val="004A2022"/>
    <w:rsid w:val="004A3F38"/>
    <w:rsid w:val="004A4DF7"/>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775A"/>
    <w:rsid w:val="004E114F"/>
    <w:rsid w:val="004E5F26"/>
    <w:rsid w:val="004E640A"/>
    <w:rsid w:val="004E6BA0"/>
    <w:rsid w:val="004F100F"/>
    <w:rsid w:val="004F676B"/>
    <w:rsid w:val="004F6ACA"/>
    <w:rsid w:val="00501944"/>
    <w:rsid w:val="00507168"/>
    <w:rsid w:val="00513C25"/>
    <w:rsid w:val="005154B2"/>
    <w:rsid w:val="00521F2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6779"/>
    <w:rsid w:val="00591312"/>
    <w:rsid w:val="00592A26"/>
    <w:rsid w:val="00592EFF"/>
    <w:rsid w:val="00593687"/>
    <w:rsid w:val="00593BAD"/>
    <w:rsid w:val="00596335"/>
    <w:rsid w:val="005A0251"/>
    <w:rsid w:val="005A0978"/>
    <w:rsid w:val="005A6AD2"/>
    <w:rsid w:val="005A78EF"/>
    <w:rsid w:val="005B2393"/>
    <w:rsid w:val="005B2C94"/>
    <w:rsid w:val="005B7836"/>
    <w:rsid w:val="005C060E"/>
    <w:rsid w:val="005C26A1"/>
    <w:rsid w:val="005C2D66"/>
    <w:rsid w:val="005C5B21"/>
    <w:rsid w:val="005C6DAE"/>
    <w:rsid w:val="005D07C8"/>
    <w:rsid w:val="005D157C"/>
    <w:rsid w:val="005D35B6"/>
    <w:rsid w:val="005D4322"/>
    <w:rsid w:val="005E0E08"/>
    <w:rsid w:val="005E1180"/>
    <w:rsid w:val="00600A58"/>
    <w:rsid w:val="00600DB3"/>
    <w:rsid w:val="00604620"/>
    <w:rsid w:val="006118A3"/>
    <w:rsid w:val="00614D70"/>
    <w:rsid w:val="006239E8"/>
    <w:rsid w:val="00630642"/>
    <w:rsid w:val="00630A1B"/>
    <w:rsid w:val="00630AC0"/>
    <w:rsid w:val="00635F80"/>
    <w:rsid w:val="00643C09"/>
    <w:rsid w:val="00646DC7"/>
    <w:rsid w:val="00654C98"/>
    <w:rsid w:val="00656164"/>
    <w:rsid w:val="00656FDF"/>
    <w:rsid w:val="0066072E"/>
    <w:rsid w:val="006626FC"/>
    <w:rsid w:val="00663C86"/>
    <w:rsid w:val="006640AE"/>
    <w:rsid w:val="00664305"/>
    <w:rsid w:val="006726B9"/>
    <w:rsid w:val="00673063"/>
    <w:rsid w:val="00673310"/>
    <w:rsid w:val="00674A45"/>
    <w:rsid w:val="00675CD9"/>
    <w:rsid w:val="0067620E"/>
    <w:rsid w:val="006854E0"/>
    <w:rsid w:val="00690D60"/>
    <w:rsid w:val="0069172D"/>
    <w:rsid w:val="00692418"/>
    <w:rsid w:val="00694292"/>
    <w:rsid w:val="00694D48"/>
    <w:rsid w:val="006A1A5B"/>
    <w:rsid w:val="006A20E6"/>
    <w:rsid w:val="006A282D"/>
    <w:rsid w:val="006A2B0A"/>
    <w:rsid w:val="006A795E"/>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2593F"/>
    <w:rsid w:val="00725E87"/>
    <w:rsid w:val="00736A68"/>
    <w:rsid w:val="00740F9A"/>
    <w:rsid w:val="00750297"/>
    <w:rsid w:val="00754307"/>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B4278"/>
    <w:rsid w:val="007B67D8"/>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F88"/>
    <w:rsid w:val="00824A6A"/>
    <w:rsid w:val="008268E4"/>
    <w:rsid w:val="00832F0B"/>
    <w:rsid w:val="00837A97"/>
    <w:rsid w:val="0084582B"/>
    <w:rsid w:val="00853728"/>
    <w:rsid w:val="00854D1F"/>
    <w:rsid w:val="00861799"/>
    <w:rsid w:val="0086309F"/>
    <w:rsid w:val="008639C8"/>
    <w:rsid w:val="00867D29"/>
    <w:rsid w:val="00871CD6"/>
    <w:rsid w:val="00874880"/>
    <w:rsid w:val="008774D5"/>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5D21"/>
    <w:rsid w:val="008E5F63"/>
    <w:rsid w:val="008E78CF"/>
    <w:rsid w:val="008F1C7F"/>
    <w:rsid w:val="008F5DAA"/>
    <w:rsid w:val="00906DBB"/>
    <w:rsid w:val="0091491F"/>
    <w:rsid w:val="009167E1"/>
    <w:rsid w:val="00916EE6"/>
    <w:rsid w:val="00923DE8"/>
    <w:rsid w:val="0092502E"/>
    <w:rsid w:val="00932442"/>
    <w:rsid w:val="00941A48"/>
    <w:rsid w:val="00942974"/>
    <w:rsid w:val="009505A9"/>
    <w:rsid w:val="0095701F"/>
    <w:rsid w:val="00962F85"/>
    <w:rsid w:val="00963698"/>
    <w:rsid w:val="00964715"/>
    <w:rsid w:val="009707BF"/>
    <w:rsid w:val="009715CE"/>
    <w:rsid w:val="00972569"/>
    <w:rsid w:val="00975D73"/>
    <w:rsid w:val="009770FA"/>
    <w:rsid w:val="00980AD1"/>
    <w:rsid w:val="0098207C"/>
    <w:rsid w:val="00982A5E"/>
    <w:rsid w:val="0098306D"/>
    <w:rsid w:val="00986955"/>
    <w:rsid w:val="0099313D"/>
    <w:rsid w:val="00994EF5"/>
    <w:rsid w:val="009A08A4"/>
    <w:rsid w:val="009A42E9"/>
    <w:rsid w:val="009A467D"/>
    <w:rsid w:val="009A47EC"/>
    <w:rsid w:val="009A4FC6"/>
    <w:rsid w:val="009B0619"/>
    <w:rsid w:val="009B0E6E"/>
    <w:rsid w:val="009B52F9"/>
    <w:rsid w:val="009B5B5F"/>
    <w:rsid w:val="009B6E8C"/>
    <w:rsid w:val="009B7F3A"/>
    <w:rsid w:val="009D02F9"/>
    <w:rsid w:val="009D2F06"/>
    <w:rsid w:val="009D3372"/>
    <w:rsid w:val="009E5720"/>
    <w:rsid w:val="009F027D"/>
    <w:rsid w:val="009F0BE3"/>
    <w:rsid w:val="009F3E85"/>
    <w:rsid w:val="009F4ED5"/>
    <w:rsid w:val="00A01CC2"/>
    <w:rsid w:val="00A07FB2"/>
    <w:rsid w:val="00A135FA"/>
    <w:rsid w:val="00A20604"/>
    <w:rsid w:val="00A22717"/>
    <w:rsid w:val="00A24214"/>
    <w:rsid w:val="00A268D9"/>
    <w:rsid w:val="00A37F3E"/>
    <w:rsid w:val="00A442E6"/>
    <w:rsid w:val="00A5116D"/>
    <w:rsid w:val="00A52686"/>
    <w:rsid w:val="00A552A6"/>
    <w:rsid w:val="00A556B9"/>
    <w:rsid w:val="00A56F3E"/>
    <w:rsid w:val="00A577EC"/>
    <w:rsid w:val="00A6135E"/>
    <w:rsid w:val="00A6613E"/>
    <w:rsid w:val="00A71E8C"/>
    <w:rsid w:val="00A75B57"/>
    <w:rsid w:val="00A873D0"/>
    <w:rsid w:val="00A90B3A"/>
    <w:rsid w:val="00A94027"/>
    <w:rsid w:val="00A95EB2"/>
    <w:rsid w:val="00AB6D57"/>
    <w:rsid w:val="00AB7278"/>
    <w:rsid w:val="00AC0354"/>
    <w:rsid w:val="00AC1BD3"/>
    <w:rsid w:val="00AC26D4"/>
    <w:rsid w:val="00AC3201"/>
    <w:rsid w:val="00AD1C20"/>
    <w:rsid w:val="00AD1E4D"/>
    <w:rsid w:val="00AD1E5D"/>
    <w:rsid w:val="00AD23B8"/>
    <w:rsid w:val="00AD24C8"/>
    <w:rsid w:val="00AD35D0"/>
    <w:rsid w:val="00AD5EE0"/>
    <w:rsid w:val="00AD7AAB"/>
    <w:rsid w:val="00AE2AC3"/>
    <w:rsid w:val="00AE3A8C"/>
    <w:rsid w:val="00AE66EA"/>
    <w:rsid w:val="00AE6A0E"/>
    <w:rsid w:val="00AF2ACF"/>
    <w:rsid w:val="00AF3D39"/>
    <w:rsid w:val="00AF6205"/>
    <w:rsid w:val="00AF726B"/>
    <w:rsid w:val="00B00F65"/>
    <w:rsid w:val="00B03445"/>
    <w:rsid w:val="00B059F3"/>
    <w:rsid w:val="00B144F5"/>
    <w:rsid w:val="00B15ABE"/>
    <w:rsid w:val="00B207B0"/>
    <w:rsid w:val="00B22524"/>
    <w:rsid w:val="00B24B48"/>
    <w:rsid w:val="00B24FB9"/>
    <w:rsid w:val="00B27B10"/>
    <w:rsid w:val="00B32C06"/>
    <w:rsid w:val="00B340A4"/>
    <w:rsid w:val="00B36A06"/>
    <w:rsid w:val="00B37658"/>
    <w:rsid w:val="00B37AC6"/>
    <w:rsid w:val="00B400E7"/>
    <w:rsid w:val="00B4068D"/>
    <w:rsid w:val="00B444F0"/>
    <w:rsid w:val="00B4485F"/>
    <w:rsid w:val="00B5079F"/>
    <w:rsid w:val="00B5182B"/>
    <w:rsid w:val="00B53EFA"/>
    <w:rsid w:val="00B54636"/>
    <w:rsid w:val="00B54A0A"/>
    <w:rsid w:val="00B57A82"/>
    <w:rsid w:val="00B64107"/>
    <w:rsid w:val="00B64BAF"/>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1A8F"/>
    <w:rsid w:val="00BC1C8A"/>
    <w:rsid w:val="00BC5463"/>
    <w:rsid w:val="00BC6CBC"/>
    <w:rsid w:val="00BC7643"/>
    <w:rsid w:val="00BD1611"/>
    <w:rsid w:val="00BE3E5A"/>
    <w:rsid w:val="00BE5262"/>
    <w:rsid w:val="00BE607E"/>
    <w:rsid w:val="00BE6185"/>
    <w:rsid w:val="00BF0360"/>
    <w:rsid w:val="00BF3586"/>
    <w:rsid w:val="00BF474D"/>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E"/>
    <w:rsid w:val="00C462A0"/>
    <w:rsid w:val="00C5030B"/>
    <w:rsid w:val="00C50E75"/>
    <w:rsid w:val="00C53EA7"/>
    <w:rsid w:val="00C553E0"/>
    <w:rsid w:val="00C55A20"/>
    <w:rsid w:val="00C5670A"/>
    <w:rsid w:val="00C57481"/>
    <w:rsid w:val="00C60FE3"/>
    <w:rsid w:val="00C616AA"/>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362"/>
    <w:rsid w:val="00CB3BCD"/>
    <w:rsid w:val="00CB67E2"/>
    <w:rsid w:val="00CC14C2"/>
    <w:rsid w:val="00CC224A"/>
    <w:rsid w:val="00CC55BC"/>
    <w:rsid w:val="00CC5C1F"/>
    <w:rsid w:val="00CC6655"/>
    <w:rsid w:val="00CC6BA7"/>
    <w:rsid w:val="00CC7364"/>
    <w:rsid w:val="00CD2767"/>
    <w:rsid w:val="00CD3FC2"/>
    <w:rsid w:val="00CE50D0"/>
    <w:rsid w:val="00CF7DD1"/>
    <w:rsid w:val="00D02B39"/>
    <w:rsid w:val="00D03A1B"/>
    <w:rsid w:val="00D047EF"/>
    <w:rsid w:val="00D05AB2"/>
    <w:rsid w:val="00D062E4"/>
    <w:rsid w:val="00D06B39"/>
    <w:rsid w:val="00D15FD3"/>
    <w:rsid w:val="00D16D8D"/>
    <w:rsid w:val="00D17087"/>
    <w:rsid w:val="00D2104C"/>
    <w:rsid w:val="00D25CEF"/>
    <w:rsid w:val="00D27A7C"/>
    <w:rsid w:val="00D3617A"/>
    <w:rsid w:val="00D37399"/>
    <w:rsid w:val="00D442B3"/>
    <w:rsid w:val="00D46116"/>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40D0C"/>
    <w:rsid w:val="00E44B1C"/>
    <w:rsid w:val="00E4505B"/>
    <w:rsid w:val="00E47B2B"/>
    <w:rsid w:val="00E51566"/>
    <w:rsid w:val="00E54DF5"/>
    <w:rsid w:val="00E606F0"/>
    <w:rsid w:val="00E6538E"/>
    <w:rsid w:val="00E65B84"/>
    <w:rsid w:val="00E65D5A"/>
    <w:rsid w:val="00E72CD1"/>
    <w:rsid w:val="00E74FA4"/>
    <w:rsid w:val="00E776EE"/>
    <w:rsid w:val="00E82DC0"/>
    <w:rsid w:val="00E84C66"/>
    <w:rsid w:val="00E84CBA"/>
    <w:rsid w:val="00E9522D"/>
    <w:rsid w:val="00EA0CC8"/>
    <w:rsid w:val="00EA6743"/>
    <w:rsid w:val="00EB0DDE"/>
    <w:rsid w:val="00EB0E17"/>
    <w:rsid w:val="00EC322C"/>
    <w:rsid w:val="00EC43E2"/>
    <w:rsid w:val="00ED117A"/>
    <w:rsid w:val="00ED142F"/>
    <w:rsid w:val="00ED2EEF"/>
    <w:rsid w:val="00ED7F71"/>
    <w:rsid w:val="00EE07BD"/>
    <w:rsid w:val="00EE2427"/>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16980"/>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71A6"/>
    <w:rsid w:val="00F85573"/>
    <w:rsid w:val="00F97B71"/>
    <w:rsid w:val="00FA041D"/>
    <w:rsid w:val="00FA6FE9"/>
    <w:rsid w:val="00FB0007"/>
    <w:rsid w:val="00FB44C7"/>
    <w:rsid w:val="00FB4839"/>
    <w:rsid w:val="00FB5102"/>
    <w:rsid w:val="00FB660E"/>
    <w:rsid w:val="00FC2C0A"/>
    <w:rsid w:val="00FC4BA8"/>
    <w:rsid w:val="00FC4DAB"/>
    <w:rsid w:val="00FC4DF2"/>
    <w:rsid w:val="00FD3F6F"/>
    <w:rsid w:val="00FD66AE"/>
    <w:rsid w:val="00FE02FC"/>
    <w:rsid w:val="00FF0AED"/>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5925504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20481590">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2749037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71606463">
      <w:bodyDiv w:val="1"/>
      <w:marLeft w:val="0"/>
      <w:marRight w:val="0"/>
      <w:marTop w:val="0"/>
      <w:marBottom w:val="0"/>
      <w:divBdr>
        <w:top w:val="none" w:sz="0" w:space="0" w:color="auto"/>
        <w:left w:val="none" w:sz="0" w:space="0" w:color="auto"/>
        <w:bottom w:val="none" w:sz="0" w:space="0" w:color="auto"/>
        <w:right w:val="none" w:sz="0" w:space="0" w:color="auto"/>
      </w:divBdr>
    </w:div>
    <w:div w:id="167341479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2821011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028754991">
      <w:bodyDiv w:val="1"/>
      <w:marLeft w:val="0"/>
      <w:marRight w:val="0"/>
      <w:marTop w:val="0"/>
      <w:marBottom w:val="0"/>
      <w:divBdr>
        <w:top w:val="none" w:sz="0" w:space="0" w:color="auto"/>
        <w:left w:val="none" w:sz="0" w:space="0" w:color="auto"/>
        <w:bottom w:val="none" w:sz="0" w:space="0" w:color="auto"/>
        <w:right w:val="none" w:sz="0" w:space="0" w:color="auto"/>
      </w:divBdr>
    </w:div>
    <w:div w:id="2090733099">
      <w:bodyDiv w:val="1"/>
      <w:marLeft w:val="0"/>
      <w:marRight w:val="0"/>
      <w:marTop w:val="0"/>
      <w:marBottom w:val="0"/>
      <w:divBdr>
        <w:top w:val="none" w:sz="0" w:space="0" w:color="auto"/>
        <w:left w:val="none" w:sz="0" w:space="0" w:color="auto"/>
        <w:bottom w:val="none" w:sz="0" w:space="0" w:color="auto"/>
        <w:right w:val="none" w:sz="0" w:space="0" w:color="auto"/>
      </w:divBdr>
    </w:div>
    <w:div w:id="21110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wody-polskie/potwierdzenie-zgodnosci-z-celami-srodowiskowymi"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F667-50EB-43BB-91A3-0DB7C1B5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7373</Words>
  <Characters>44238</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2</cp:revision>
  <cp:lastPrinted>2025-06-04T10:42:00Z</cp:lastPrinted>
  <dcterms:created xsi:type="dcterms:W3CDTF">2025-06-04T10:54:00Z</dcterms:created>
  <dcterms:modified xsi:type="dcterms:W3CDTF">2025-06-04T10:54:00Z</dcterms:modified>
</cp:coreProperties>
</file>