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C8D06" w14:textId="00461871" w:rsidR="00757105" w:rsidRPr="00E130DA" w:rsidRDefault="00757105" w:rsidP="00E130DA">
      <w:pPr>
        <w:pStyle w:val="Nagwek1"/>
      </w:pPr>
      <w:r w:rsidRPr="00E130DA">
        <w:t xml:space="preserve">ANEKS NR </w:t>
      </w:r>
      <w:r w:rsidR="00B60440" w:rsidRPr="00E130DA">
        <w:t>4</w:t>
      </w:r>
    </w:p>
    <w:p w14:paraId="53DDCA28" w14:textId="06C4151F" w:rsidR="00324372" w:rsidRPr="00E130DA" w:rsidRDefault="00757105" w:rsidP="00E130DA">
      <w:pPr>
        <w:pStyle w:val="Nagwek1"/>
      </w:pPr>
      <w:r w:rsidRPr="00E130DA">
        <w:t xml:space="preserve">DO KONTRAKTU PROGRAMOWEGO DLA WOJEWÓDZTWA </w:t>
      </w:r>
      <w:r w:rsidR="00A74E03" w:rsidRPr="00E130DA">
        <w:t>MAŁOPOLSKIEGO</w:t>
      </w:r>
    </w:p>
    <w:p w14:paraId="32968F40" w14:textId="55025840" w:rsidR="00757105" w:rsidRPr="00E130DA" w:rsidRDefault="00757105" w:rsidP="00E130DA">
      <w:pPr>
        <w:pStyle w:val="Nagwek1"/>
      </w:pPr>
    </w:p>
    <w:p w14:paraId="4D16C12F" w14:textId="2B085C74" w:rsidR="00ED4296" w:rsidRPr="00187A8A" w:rsidRDefault="00ED4296" w:rsidP="00ED6DD3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zawarty w dniu </w:t>
      </w:r>
      <w:r w:rsidR="00B20280">
        <w:rPr>
          <w:rFonts w:ascii="Century Gothic" w:hAnsi="Century Gothic"/>
          <w:sz w:val="20"/>
          <w:szCs w:val="20"/>
        </w:rPr>
        <w:t>30 lipca</w:t>
      </w:r>
      <w:r w:rsidRPr="00187A8A">
        <w:rPr>
          <w:rFonts w:ascii="Century Gothic" w:hAnsi="Century Gothic"/>
          <w:sz w:val="20"/>
          <w:szCs w:val="20"/>
        </w:rPr>
        <w:t xml:space="preserve"> 202</w:t>
      </w:r>
      <w:r w:rsidR="00140CAC">
        <w:rPr>
          <w:rFonts w:ascii="Century Gothic" w:hAnsi="Century Gothic"/>
          <w:sz w:val="20"/>
          <w:szCs w:val="20"/>
        </w:rPr>
        <w:t>5</w:t>
      </w:r>
      <w:r w:rsidRPr="00187A8A">
        <w:rPr>
          <w:rFonts w:ascii="Century Gothic" w:hAnsi="Century Gothic"/>
          <w:sz w:val="20"/>
          <w:szCs w:val="20"/>
        </w:rPr>
        <w:t xml:space="preserve"> r. w </w:t>
      </w:r>
      <w:r w:rsidR="00B20280">
        <w:rPr>
          <w:rFonts w:ascii="Century Gothic" w:hAnsi="Century Gothic"/>
          <w:sz w:val="20"/>
          <w:szCs w:val="20"/>
        </w:rPr>
        <w:t>Krakowie</w:t>
      </w:r>
      <w:r w:rsidRPr="00187A8A">
        <w:rPr>
          <w:rFonts w:ascii="Century Gothic" w:hAnsi="Century Gothic"/>
          <w:sz w:val="20"/>
          <w:szCs w:val="20"/>
        </w:rPr>
        <w:t>,</w:t>
      </w:r>
    </w:p>
    <w:p w14:paraId="7CFDF59F" w14:textId="77777777" w:rsidR="00ED4296" w:rsidRPr="00187A8A" w:rsidRDefault="00ED4296" w:rsidP="00ED6DD3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między</w:t>
      </w:r>
    </w:p>
    <w:p w14:paraId="0AFA4B64" w14:textId="7DFD8097" w:rsidR="00952062" w:rsidRPr="001845AB" w:rsidRDefault="007D0AB0" w:rsidP="00952062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Ministrem Funduszy i Polityki Regionalnej, zwanym dalej „Ministrem”, w imieniu którego działa </w:t>
      </w:r>
      <w:r w:rsidR="00140CAC">
        <w:rPr>
          <w:rFonts w:ascii="Century Gothic" w:hAnsi="Century Gothic"/>
          <w:sz w:val="20"/>
          <w:szCs w:val="20"/>
        </w:rPr>
        <w:t>Jac</w:t>
      </w:r>
      <w:r>
        <w:rPr>
          <w:rFonts w:ascii="Century Gothic" w:hAnsi="Century Gothic"/>
          <w:sz w:val="20"/>
          <w:szCs w:val="20"/>
        </w:rPr>
        <w:t>e</w:t>
      </w:r>
      <w:r w:rsidR="00140CAC">
        <w:rPr>
          <w:rFonts w:ascii="Century Gothic" w:hAnsi="Century Gothic"/>
          <w:sz w:val="20"/>
          <w:szCs w:val="20"/>
        </w:rPr>
        <w:t>k Karnowski</w:t>
      </w:r>
      <w:r w:rsidR="00BD5CC6">
        <w:rPr>
          <w:rFonts w:ascii="Century Gothic" w:hAnsi="Century Gothic"/>
          <w:sz w:val="20"/>
          <w:szCs w:val="20"/>
        </w:rPr>
        <w:t xml:space="preserve">, </w:t>
      </w:r>
      <w:r w:rsidR="00140CAC">
        <w:rPr>
          <w:rFonts w:ascii="Century Gothic" w:hAnsi="Century Gothic"/>
          <w:sz w:val="20"/>
          <w:szCs w:val="20"/>
        </w:rPr>
        <w:t xml:space="preserve">Sekretarz Stanu w </w:t>
      </w:r>
      <w:r w:rsidR="00952062" w:rsidRPr="001845AB">
        <w:rPr>
          <w:rFonts w:ascii="Century Gothic" w:hAnsi="Century Gothic"/>
          <w:sz w:val="20"/>
          <w:szCs w:val="20"/>
        </w:rPr>
        <w:t>Minist</w:t>
      </w:r>
      <w:r w:rsidR="00140CAC">
        <w:rPr>
          <w:rFonts w:ascii="Century Gothic" w:hAnsi="Century Gothic"/>
          <w:sz w:val="20"/>
          <w:szCs w:val="20"/>
        </w:rPr>
        <w:t>erstwie</w:t>
      </w:r>
      <w:r w:rsidR="00952062" w:rsidRPr="001845AB">
        <w:rPr>
          <w:rFonts w:ascii="Century Gothic" w:hAnsi="Century Gothic"/>
          <w:sz w:val="20"/>
          <w:szCs w:val="20"/>
        </w:rPr>
        <w:t xml:space="preserve"> Funduszy i Polityki Regionalnej</w:t>
      </w:r>
      <w:r>
        <w:rPr>
          <w:rFonts w:ascii="Century Gothic" w:hAnsi="Century Gothic"/>
          <w:sz w:val="20"/>
          <w:szCs w:val="20"/>
        </w:rPr>
        <w:t>, na podstawie pełnomocnictwa nr MFiPR/405-PM/24 z dnia 8 lipca 2024 r.</w:t>
      </w:r>
      <w:r w:rsidR="00D65513">
        <w:rPr>
          <w:rFonts w:ascii="Century Gothic" w:hAnsi="Century Gothic"/>
          <w:sz w:val="20"/>
          <w:szCs w:val="20"/>
        </w:rPr>
        <w:t xml:space="preserve">, stanowiącego załącznik nr 1 </w:t>
      </w:r>
      <w:r w:rsidR="00D65513">
        <w:rPr>
          <w:rFonts w:ascii="Century Gothic" w:hAnsi="Century Gothic"/>
          <w:sz w:val="20"/>
          <w:szCs w:val="20"/>
        </w:rPr>
        <w:br/>
        <w:t>do Aneksu,</w:t>
      </w:r>
    </w:p>
    <w:p w14:paraId="5B27F9AE" w14:textId="77777777" w:rsidR="00ED4296" w:rsidRPr="00187A8A" w:rsidRDefault="00ED4296" w:rsidP="007D0AB0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oraz</w:t>
      </w:r>
    </w:p>
    <w:p w14:paraId="27A273A9" w14:textId="132DC1BC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Zarząd</w:t>
      </w:r>
      <w:r w:rsidR="003B45DE">
        <w:rPr>
          <w:rFonts w:ascii="Century Gothic" w:hAnsi="Century Gothic"/>
          <w:sz w:val="20"/>
          <w:szCs w:val="20"/>
        </w:rPr>
        <w:t>em</w:t>
      </w:r>
      <w:r w:rsidRPr="00187A8A">
        <w:rPr>
          <w:rFonts w:ascii="Century Gothic" w:hAnsi="Century Gothic"/>
          <w:sz w:val="20"/>
          <w:szCs w:val="20"/>
        </w:rPr>
        <w:t xml:space="preserve"> Województwa </w:t>
      </w:r>
      <w:r w:rsidR="00A74E03">
        <w:rPr>
          <w:rFonts w:ascii="Century Gothic" w:hAnsi="Century Gothic"/>
          <w:sz w:val="20"/>
          <w:szCs w:val="20"/>
        </w:rPr>
        <w:t>Małopolskiego</w:t>
      </w:r>
      <w:r w:rsidRPr="00187A8A">
        <w:rPr>
          <w:rFonts w:ascii="Century Gothic" w:hAnsi="Century Gothic"/>
          <w:sz w:val="20"/>
          <w:szCs w:val="20"/>
        </w:rPr>
        <w:t>, zwany</w:t>
      </w:r>
      <w:r w:rsidR="003B45DE">
        <w:rPr>
          <w:rFonts w:ascii="Century Gothic" w:hAnsi="Century Gothic"/>
          <w:sz w:val="20"/>
          <w:szCs w:val="20"/>
        </w:rPr>
        <w:t>m</w:t>
      </w:r>
      <w:r w:rsidRPr="00187A8A">
        <w:rPr>
          <w:rFonts w:ascii="Century Gothic" w:hAnsi="Century Gothic"/>
          <w:sz w:val="20"/>
          <w:szCs w:val="20"/>
        </w:rPr>
        <w:t xml:space="preserve"> dalej „Stroną samorządową” lub „Instytucją Zarządzającą”, reprezentowany</w:t>
      </w:r>
      <w:r w:rsidR="003B45DE">
        <w:rPr>
          <w:rFonts w:ascii="Century Gothic" w:hAnsi="Century Gothic"/>
          <w:sz w:val="20"/>
          <w:szCs w:val="20"/>
        </w:rPr>
        <w:t>m</w:t>
      </w:r>
      <w:r w:rsidRPr="00187A8A">
        <w:rPr>
          <w:rFonts w:ascii="Century Gothic" w:hAnsi="Century Gothic"/>
          <w:sz w:val="20"/>
          <w:szCs w:val="20"/>
        </w:rPr>
        <w:t xml:space="preserve"> przez:</w:t>
      </w:r>
    </w:p>
    <w:p w14:paraId="1E3BE001" w14:textId="34A8F04C" w:rsidR="00ED4296" w:rsidRPr="00187A8A" w:rsidRDefault="000A1F57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Łukasza Smółkę</w:t>
      </w:r>
      <w:r w:rsidR="00ED4296" w:rsidRPr="00187A8A">
        <w:rPr>
          <w:rFonts w:ascii="Century Gothic" w:hAnsi="Century Gothic"/>
          <w:sz w:val="20"/>
          <w:szCs w:val="20"/>
        </w:rPr>
        <w:t xml:space="preserve">, Marszałka Województwa </w:t>
      </w:r>
      <w:r w:rsidR="00A74E03">
        <w:rPr>
          <w:rFonts w:ascii="Century Gothic" w:hAnsi="Century Gothic"/>
          <w:sz w:val="20"/>
          <w:szCs w:val="20"/>
        </w:rPr>
        <w:t>Małopolskiego</w:t>
      </w:r>
      <w:r w:rsidR="00ED4296" w:rsidRPr="00187A8A">
        <w:rPr>
          <w:rFonts w:ascii="Century Gothic" w:hAnsi="Century Gothic"/>
          <w:sz w:val="20"/>
          <w:szCs w:val="20"/>
        </w:rPr>
        <w:t>,</w:t>
      </w:r>
    </w:p>
    <w:p w14:paraId="7A0D5662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oraz</w:t>
      </w:r>
    </w:p>
    <w:p w14:paraId="6CB7ED80" w14:textId="44ADD533" w:rsidR="00ED4296" w:rsidRPr="00187A8A" w:rsidRDefault="000A1F57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Witolda Kozłowskiego</w:t>
      </w:r>
      <w:r w:rsidR="00ED4296" w:rsidRPr="00187A8A">
        <w:rPr>
          <w:rFonts w:ascii="Century Gothic" w:hAnsi="Century Gothic"/>
          <w:sz w:val="20"/>
          <w:szCs w:val="20"/>
        </w:rPr>
        <w:t xml:space="preserve">, Wicemarszałka Województwa </w:t>
      </w:r>
      <w:r w:rsidR="00A74E03">
        <w:rPr>
          <w:rFonts w:ascii="Century Gothic" w:hAnsi="Century Gothic"/>
          <w:sz w:val="20"/>
          <w:szCs w:val="20"/>
        </w:rPr>
        <w:t>Małopolskiego</w:t>
      </w:r>
      <w:r w:rsidR="00ED4296" w:rsidRPr="00187A8A">
        <w:rPr>
          <w:rFonts w:ascii="Century Gothic" w:hAnsi="Century Gothic"/>
          <w:sz w:val="20"/>
          <w:szCs w:val="20"/>
        </w:rPr>
        <w:t>,</w:t>
      </w:r>
    </w:p>
    <w:p w14:paraId="671F4A19" w14:textId="5AC6583E" w:rsidR="00ED4296" w:rsidRPr="00187A8A" w:rsidRDefault="00ED4296" w:rsidP="001573EF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na podstawie upoważnienia</w:t>
      </w:r>
      <w:r w:rsidR="000A1F57">
        <w:rPr>
          <w:rFonts w:ascii="Century Gothic" w:hAnsi="Century Gothic"/>
          <w:sz w:val="20"/>
          <w:szCs w:val="20"/>
        </w:rPr>
        <w:t xml:space="preserve"> udzielonego w </w:t>
      </w:r>
      <w:bookmarkStart w:id="0" w:name="_Hlk189723987"/>
      <w:r w:rsidR="008215CF">
        <w:rPr>
          <w:rFonts w:ascii="Century Gothic" w:hAnsi="Century Gothic"/>
          <w:sz w:val="20"/>
          <w:szCs w:val="20"/>
        </w:rPr>
        <w:t xml:space="preserve">Uchwale Nr 1503/22 Zarządu Województwa Małopolskiego z dnia 6 września 2022 r. w sprawie przyjęcia Kontraktu Programowego dla Województwa Małopolskiego oraz udzielenia upoważnienia do zawarcia Kontraktu Programowego w imieniu Zarządu Województwa, zmienionej </w:t>
      </w:r>
      <w:r w:rsidR="000A1F57">
        <w:rPr>
          <w:rFonts w:ascii="Century Gothic" w:hAnsi="Century Gothic"/>
          <w:sz w:val="20"/>
          <w:szCs w:val="20"/>
        </w:rPr>
        <w:t>Uchwa</w:t>
      </w:r>
      <w:r w:rsidR="008215CF">
        <w:rPr>
          <w:rFonts w:ascii="Century Gothic" w:hAnsi="Century Gothic"/>
          <w:sz w:val="20"/>
          <w:szCs w:val="20"/>
        </w:rPr>
        <w:t>łą</w:t>
      </w:r>
      <w:r w:rsidR="000A1F57">
        <w:rPr>
          <w:rFonts w:ascii="Century Gothic" w:hAnsi="Century Gothic"/>
          <w:sz w:val="20"/>
          <w:szCs w:val="20"/>
        </w:rPr>
        <w:t xml:space="preserve"> Nr 1661/24 Zarządu Województwa Małopolskiego z dnia 6 sierpnia 2024 r. w sprawie zmiany Uchwały Nr 2198/22 </w:t>
      </w:r>
      <w:r w:rsidR="0059419D">
        <w:rPr>
          <w:rFonts w:ascii="Century Gothic" w:hAnsi="Century Gothic"/>
          <w:sz w:val="20"/>
          <w:szCs w:val="20"/>
        </w:rPr>
        <w:br/>
      </w:r>
      <w:r w:rsidR="000A1F57">
        <w:rPr>
          <w:rFonts w:ascii="Century Gothic" w:hAnsi="Century Gothic"/>
          <w:sz w:val="20"/>
          <w:szCs w:val="20"/>
        </w:rPr>
        <w:t>z dnia 20 grudnia 2022 r. w sprawie wyznaczenia przedstawicieli Instytucji Zarządzającej programem regionalnym Fundusze Europejskie dla Małopolski 2021-2027 do składu Komitetu do spraw Umowy Partnerstwa na lata 2021-2027 oraz zmiany niektórych innych uchwał</w:t>
      </w:r>
      <w:bookmarkEnd w:id="0"/>
      <w:r w:rsidRPr="00187A8A">
        <w:rPr>
          <w:rFonts w:ascii="Century Gothic" w:hAnsi="Century Gothic"/>
          <w:sz w:val="20"/>
          <w:szCs w:val="20"/>
        </w:rPr>
        <w:t>,</w:t>
      </w:r>
      <w:r w:rsidR="00ED6DD3">
        <w:rPr>
          <w:rFonts w:ascii="Century Gothic" w:hAnsi="Century Gothic"/>
          <w:sz w:val="20"/>
          <w:szCs w:val="20"/>
        </w:rPr>
        <w:t xml:space="preserve"> stanowiące</w:t>
      </w:r>
      <w:r w:rsidR="000A1F57">
        <w:rPr>
          <w:rFonts w:ascii="Century Gothic" w:hAnsi="Century Gothic"/>
          <w:sz w:val="20"/>
          <w:szCs w:val="20"/>
        </w:rPr>
        <w:t>j</w:t>
      </w:r>
      <w:r w:rsidR="00ED6DD3">
        <w:rPr>
          <w:rFonts w:ascii="Century Gothic" w:hAnsi="Century Gothic"/>
          <w:sz w:val="20"/>
          <w:szCs w:val="20"/>
        </w:rPr>
        <w:t xml:space="preserve"> załącznik nr 2 do Aneksu,</w:t>
      </w:r>
    </w:p>
    <w:p w14:paraId="366A9200" w14:textId="13963A06" w:rsidR="00ED4296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zwan</w:t>
      </w:r>
      <w:r w:rsidR="003B45DE">
        <w:rPr>
          <w:rFonts w:ascii="Century Gothic" w:hAnsi="Century Gothic"/>
          <w:sz w:val="20"/>
          <w:szCs w:val="20"/>
        </w:rPr>
        <w:t>ymi</w:t>
      </w:r>
      <w:r w:rsidRPr="00187A8A">
        <w:rPr>
          <w:rFonts w:ascii="Century Gothic" w:hAnsi="Century Gothic"/>
          <w:sz w:val="20"/>
          <w:szCs w:val="20"/>
        </w:rPr>
        <w:t xml:space="preserve"> łącznie dalej „Stronami”.</w:t>
      </w:r>
    </w:p>
    <w:p w14:paraId="316FD993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2AFAB27F" w14:textId="36A28CBD" w:rsidR="00ED4296" w:rsidRPr="00E130DA" w:rsidRDefault="00ED4296" w:rsidP="00E130DA">
      <w:pPr>
        <w:pStyle w:val="Nagwek2"/>
      </w:pPr>
      <w:r w:rsidRPr="00E130DA">
        <w:t>Art. 1</w:t>
      </w:r>
    </w:p>
    <w:p w14:paraId="78060DB4" w14:textId="224FA6F4" w:rsidR="006D7F2F" w:rsidRDefault="00ED4296" w:rsidP="00140CAC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Działając na podstawie art. 14ra ust. </w:t>
      </w:r>
      <w:r w:rsidR="000A0F77">
        <w:rPr>
          <w:rFonts w:ascii="Century Gothic" w:hAnsi="Century Gothic"/>
          <w:sz w:val="20"/>
          <w:szCs w:val="20"/>
        </w:rPr>
        <w:t>2-</w:t>
      </w:r>
      <w:r w:rsidRPr="00187A8A">
        <w:rPr>
          <w:rFonts w:ascii="Century Gothic" w:hAnsi="Century Gothic"/>
          <w:sz w:val="20"/>
          <w:szCs w:val="20"/>
        </w:rPr>
        <w:t>4 ustawy z dnia 6 grudnia 2006 r. o zasadach prowadzenia polityki rozwoju (Dz. U. z 202</w:t>
      </w:r>
      <w:r w:rsidR="00B60440">
        <w:rPr>
          <w:rFonts w:ascii="Century Gothic" w:hAnsi="Century Gothic"/>
          <w:sz w:val="20"/>
          <w:szCs w:val="20"/>
        </w:rPr>
        <w:t>5</w:t>
      </w:r>
      <w:r w:rsidRPr="00187A8A">
        <w:rPr>
          <w:rFonts w:ascii="Century Gothic" w:hAnsi="Century Gothic"/>
          <w:sz w:val="20"/>
          <w:szCs w:val="20"/>
        </w:rPr>
        <w:t xml:space="preserve"> r. poz. </w:t>
      </w:r>
      <w:r w:rsidR="00B60440">
        <w:rPr>
          <w:rFonts w:ascii="Century Gothic" w:hAnsi="Century Gothic"/>
          <w:sz w:val="20"/>
          <w:szCs w:val="20"/>
        </w:rPr>
        <w:t>198</w:t>
      </w:r>
      <w:r w:rsidRPr="00187A8A">
        <w:rPr>
          <w:rFonts w:ascii="Century Gothic" w:hAnsi="Century Gothic"/>
          <w:sz w:val="20"/>
          <w:szCs w:val="20"/>
        </w:rPr>
        <w:t>)</w:t>
      </w:r>
      <w:r w:rsidR="000D45D2">
        <w:rPr>
          <w:rFonts w:ascii="Century Gothic" w:hAnsi="Century Gothic"/>
          <w:sz w:val="20"/>
          <w:szCs w:val="20"/>
        </w:rPr>
        <w:t xml:space="preserve">, w związku z art. 24 ust. 4 Kontraktu Programowego dla Województwa </w:t>
      </w:r>
      <w:r w:rsidR="00EF1367">
        <w:rPr>
          <w:rFonts w:ascii="Century Gothic" w:hAnsi="Century Gothic"/>
          <w:sz w:val="20"/>
          <w:szCs w:val="20"/>
        </w:rPr>
        <w:t>Małopolskiego</w:t>
      </w:r>
      <w:r w:rsidRPr="00187A8A">
        <w:rPr>
          <w:rFonts w:ascii="Century Gothic" w:hAnsi="Century Gothic"/>
          <w:sz w:val="20"/>
          <w:szCs w:val="20"/>
        </w:rPr>
        <w:t xml:space="preserve">, Strony postanawiają, </w:t>
      </w:r>
      <w:r w:rsidR="00ED6DD3">
        <w:rPr>
          <w:rFonts w:ascii="Century Gothic" w:hAnsi="Century Gothic"/>
          <w:sz w:val="20"/>
          <w:szCs w:val="20"/>
        </w:rPr>
        <w:t>że załącznik nr 3</w:t>
      </w:r>
      <w:r w:rsidR="003F6DD1">
        <w:rPr>
          <w:rFonts w:ascii="Century Gothic" w:hAnsi="Century Gothic"/>
          <w:sz w:val="20"/>
          <w:szCs w:val="20"/>
        </w:rPr>
        <w:t>2</w:t>
      </w:r>
      <w:r w:rsidR="00ED6DD3">
        <w:rPr>
          <w:rFonts w:ascii="Century Gothic" w:hAnsi="Century Gothic"/>
          <w:sz w:val="20"/>
          <w:szCs w:val="20"/>
        </w:rPr>
        <w:t xml:space="preserve"> </w:t>
      </w:r>
      <w:r w:rsidR="003F6DD1">
        <w:rPr>
          <w:rFonts w:ascii="Century Gothic" w:hAnsi="Century Gothic"/>
          <w:sz w:val="20"/>
          <w:szCs w:val="20"/>
        </w:rPr>
        <w:br/>
      </w:r>
      <w:r w:rsidR="00ED6DD3">
        <w:rPr>
          <w:rFonts w:ascii="Century Gothic" w:hAnsi="Century Gothic"/>
          <w:sz w:val="20"/>
          <w:szCs w:val="20"/>
        </w:rPr>
        <w:t>do Kontraktu Programowego dla Województwa Małopolskiego</w:t>
      </w:r>
      <w:r w:rsidRPr="00187A8A">
        <w:rPr>
          <w:rFonts w:ascii="Century Gothic" w:hAnsi="Century Gothic"/>
          <w:sz w:val="20"/>
          <w:szCs w:val="20"/>
        </w:rPr>
        <w:t>, zawart</w:t>
      </w:r>
      <w:r w:rsidR="00ED6DD3">
        <w:rPr>
          <w:rFonts w:ascii="Century Gothic" w:hAnsi="Century Gothic"/>
          <w:sz w:val="20"/>
          <w:szCs w:val="20"/>
        </w:rPr>
        <w:t>ego</w:t>
      </w:r>
      <w:r w:rsidRPr="00187A8A">
        <w:rPr>
          <w:rFonts w:ascii="Century Gothic" w:hAnsi="Century Gothic"/>
          <w:sz w:val="20"/>
          <w:szCs w:val="20"/>
        </w:rPr>
        <w:t xml:space="preserve"> w dniu </w:t>
      </w:r>
      <w:r w:rsidR="003F6DD1">
        <w:rPr>
          <w:rFonts w:ascii="Century Gothic" w:hAnsi="Century Gothic"/>
          <w:sz w:val="20"/>
          <w:szCs w:val="20"/>
        </w:rPr>
        <w:br/>
      </w:r>
      <w:r w:rsidR="00A74E03">
        <w:rPr>
          <w:rFonts w:ascii="Century Gothic" w:hAnsi="Century Gothic"/>
          <w:sz w:val="20"/>
          <w:szCs w:val="20"/>
        </w:rPr>
        <w:t>4</w:t>
      </w:r>
      <w:r w:rsidR="00320350">
        <w:rPr>
          <w:rFonts w:ascii="Century Gothic" w:hAnsi="Century Gothic"/>
          <w:sz w:val="20"/>
          <w:szCs w:val="20"/>
        </w:rPr>
        <w:t xml:space="preserve"> </w:t>
      </w:r>
      <w:r w:rsidR="00A74E03">
        <w:rPr>
          <w:rFonts w:ascii="Century Gothic" w:hAnsi="Century Gothic"/>
          <w:sz w:val="20"/>
          <w:szCs w:val="20"/>
        </w:rPr>
        <w:t xml:space="preserve">października </w:t>
      </w:r>
      <w:r w:rsidR="00320350">
        <w:rPr>
          <w:rFonts w:ascii="Century Gothic" w:hAnsi="Century Gothic"/>
          <w:sz w:val="20"/>
          <w:szCs w:val="20"/>
        </w:rPr>
        <w:t>2022 r.</w:t>
      </w:r>
      <w:r w:rsidRPr="00187A8A">
        <w:rPr>
          <w:rFonts w:ascii="Century Gothic" w:hAnsi="Century Gothic"/>
          <w:sz w:val="20"/>
          <w:szCs w:val="20"/>
        </w:rPr>
        <w:t xml:space="preserve">, </w:t>
      </w:r>
      <w:r w:rsidR="00223705">
        <w:rPr>
          <w:rFonts w:ascii="Century Gothic" w:hAnsi="Century Gothic"/>
          <w:sz w:val="20"/>
          <w:szCs w:val="20"/>
        </w:rPr>
        <w:t>zmienion</w:t>
      </w:r>
      <w:r w:rsidR="00ED6DD3">
        <w:rPr>
          <w:rFonts w:ascii="Century Gothic" w:hAnsi="Century Gothic"/>
          <w:sz w:val="20"/>
          <w:szCs w:val="20"/>
        </w:rPr>
        <w:t>ego</w:t>
      </w:r>
      <w:r w:rsidR="00223705">
        <w:rPr>
          <w:rFonts w:ascii="Century Gothic" w:hAnsi="Century Gothic"/>
          <w:sz w:val="20"/>
          <w:szCs w:val="20"/>
        </w:rPr>
        <w:t xml:space="preserve"> </w:t>
      </w:r>
      <w:r w:rsidR="00F40E60">
        <w:rPr>
          <w:rFonts w:ascii="Century Gothic" w:hAnsi="Century Gothic"/>
          <w:sz w:val="20"/>
          <w:szCs w:val="20"/>
        </w:rPr>
        <w:t>Aneksem nr 1 z dnia 1</w:t>
      </w:r>
      <w:r w:rsidR="00A74E03">
        <w:rPr>
          <w:rFonts w:ascii="Century Gothic" w:hAnsi="Century Gothic"/>
          <w:sz w:val="20"/>
          <w:szCs w:val="20"/>
        </w:rPr>
        <w:t>3 czerwca</w:t>
      </w:r>
      <w:r w:rsidR="00F40E60">
        <w:rPr>
          <w:rFonts w:ascii="Century Gothic" w:hAnsi="Century Gothic"/>
          <w:sz w:val="20"/>
          <w:szCs w:val="20"/>
        </w:rPr>
        <w:t xml:space="preserve"> 2023 r.</w:t>
      </w:r>
      <w:r w:rsidR="00B60440">
        <w:rPr>
          <w:rFonts w:ascii="Century Gothic" w:hAnsi="Century Gothic"/>
          <w:sz w:val="20"/>
          <w:szCs w:val="20"/>
        </w:rPr>
        <w:t>,</w:t>
      </w:r>
      <w:r w:rsidR="00140CAC">
        <w:rPr>
          <w:rFonts w:ascii="Century Gothic" w:hAnsi="Century Gothic"/>
          <w:sz w:val="20"/>
          <w:szCs w:val="20"/>
        </w:rPr>
        <w:t xml:space="preserve"> Aneksem nr 2 </w:t>
      </w:r>
      <w:r w:rsidR="003F6DD1">
        <w:rPr>
          <w:rFonts w:ascii="Century Gothic" w:hAnsi="Century Gothic"/>
          <w:sz w:val="20"/>
          <w:szCs w:val="20"/>
        </w:rPr>
        <w:br/>
      </w:r>
      <w:r w:rsidR="00140CAC">
        <w:rPr>
          <w:rFonts w:ascii="Century Gothic" w:hAnsi="Century Gothic"/>
          <w:sz w:val="20"/>
          <w:szCs w:val="20"/>
        </w:rPr>
        <w:lastRenderedPageBreak/>
        <w:t>z dnia 20 grudnia 2023 r.</w:t>
      </w:r>
      <w:r w:rsidR="00B60440">
        <w:rPr>
          <w:rFonts w:ascii="Century Gothic" w:hAnsi="Century Gothic"/>
          <w:sz w:val="20"/>
          <w:szCs w:val="20"/>
        </w:rPr>
        <w:t xml:space="preserve"> oraz Aneksem nr 3 z dnia 17 lutego 2025 r.</w:t>
      </w:r>
      <w:r w:rsidR="00ED6DD3">
        <w:rPr>
          <w:rFonts w:ascii="Century Gothic" w:hAnsi="Century Gothic"/>
          <w:sz w:val="20"/>
          <w:szCs w:val="20"/>
        </w:rPr>
        <w:t xml:space="preserve">, otrzymuje </w:t>
      </w:r>
      <w:r w:rsidR="00B233B4" w:rsidRPr="00140CAC">
        <w:rPr>
          <w:rFonts w:ascii="Century Gothic" w:hAnsi="Century Gothic"/>
          <w:sz w:val="20"/>
          <w:szCs w:val="20"/>
        </w:rPr>
        <w:t>brzmienie określone w załącznik</w:t>
      </w:r>
      <w:r w:rsidR="00140CAC">
        <w:rPr>
          <w:rFonts w:ascii="Century Gothic" w:hAnsi="Century Gothic"/>
          <w:sz w:val="20"/>
          <w:szCs w:val="20"/>
        </w:rPr>
        <w:t>u</w:t>
      </w:r>
      <w:r w:rsidR="00B233B4" w:rsidRPr="00140CAC">
        <w:rPr>
          <w:rFonts w:ascii="Century Gothic" w:hAnsi="Century Gothic"/>
          <w:sz w:val="20"/>
          <w:szCs w:val="20"/>
        </w:rPr>
        <w:t xml:space="preserve"> nr </w:t>
      </w:r>
      <w:r w:rsidR="004A42EE">
        <w:rPr>
          <w:rFonts w:ascii="Century Gothic" w:hAnsi="Century Gothic"/>
          <w:sz w:val="20"/>
          <w:szCs w:val="20"/>
        </w:rPr>
        <w:t>3</w:t>
      </w:r>
      <w:r w:rsidR="00B233B4" w:rsidRPr="00140CAC">
        <w:rPr>
          <w:rFonts w:ascii="Century Gothic" w:hAnsi="Century Gothic"/>
          <w:sz w:val="20"/>
          <w:szCs w:val="20"/>
        </w:rPr>
        <w:t xml:space="preserve"> </w:t>
      </w:r>
      <w:r w:rsidR="00605A7F" w:rsidRPr="00140CAC">
        <w:rPr>
          <w:rFonts w:ascii="Century Gothic" w:hAnsi="Century Gothic"/>
          <w:sz w:val="20"/>
          <w:szCs w:val="20"/>
        </w:rPr>
        <w:t>do Aneksu</w:t>
      </w:r>
      <w:r w:rsidR="00B233B4" w:rsidRPr="00140CAC">
        <w:rPr>
          <w:rFonts w:ascii="Century Gothic" w:hAnsi="Century Gothic"/>
          <w:sz w:val="20"/>
          <w:szCs w:val="20"/>
        </w:rPr>
        <w:t>.</w:t>
      </w:r>
    </w:p>
    <w:p w14:paraId="36CCE580" w14:textId="77777777" w:rsidR="0059419D" w:rsidRDefault="0059419D" w:rsidP="00140CAC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09057E38" w14:textId="4C79DC37" w:rsidR="00ED4296" w:rsidRPr="00E130DA" w:rsidRDefault="00ED4296" w:rsidP="00E130DA">
      <w:pPr>
        <w:pStyle w:val="Nagwek2"/>
      </w:pPr>
      <w:r w:rsidRPr="00E130DA">
        <w:t>Art. 2</w:t>
      </w:r>
    </w:p>
    <w:p w14:paraId="30041F17" w14:textId="6D8D40E8" w:rsidR="00ED6DD3" w:rsidRDefault="00ED6DD3" w:rsidP="00ED6DD3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Pozostałe postanowienia Kontraktu Programowego dla Województwa </w:t>
      </w:r>
      <w:r>
        <w:rPr>
          <w:rFonts w:ascii="Century Gothic" w:hAnsi="Century Gothic"/>
          <w:sz w:val="20"/>
          <w:szCs w:val="20"/>
        </w:rPr>
        <w:t xml:space="preserve">Małopolskiego </w:t>
      </w:r>
      <w:r w:rsidRPr="00187A8A">
        <w:rPr>
          <w:rFonts w:ascii="Century Gothic" w:hAnsi="Century Gothic"/>
          <w:sz w:val="20"/>
          <w:szCs w:val="20"/>
        </w:rPr>
        <w:t>nie ulegają zmianie.</w:t>
      </w:r>
    </w:p>
    <w:p w14:paraId="5EFFE337" w14:textId="77777777" w:rsidR="0059419D" w:rsidRDefault="0059419D" w:rsidP="00ED6DD3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</w:p>
    <w:p w14:paraId="60679613" w14:textId="6DD94710" w:rsidR="00B233B4" w:rsidRPr="00E130DA" w:rsidRDefault="00B233B4" w:rsidP="00E130DA">
      <w:pPr>
        <w:pStyle w:val="Nagwek2"/>
      </w:pPr>
      <w:r w:rsidRPr="00E130DA">
        <w:t>Art. 3</w:t>
      </w:r>
    </w:p>
    <w:p w14:paraId="7B9022B0" w14:textId="22FCA461" w:rsidR="00ED6DD3" w:rsidRDefault="00ED6DD3" w:rsidP="00ED6DD3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Aneks sporządzony został w czterech jednobrzmiących egzemplarzach, po dwa dla każdej </w:t>
      </w:r>
      <w:r>
        <w:rPr>
          <w:rFonts w:ascii="Century Gothic" w:hAnsi="Century Gothic"/>
          <w:sz w:val="20"/>
          <w:szCs w:val="20"/>
        </w:rPr>
        <w:br/>
      </w:r>
      <w:r w:rsidRPr="00187A8A">
        <w:rPr>
          <w:rFonts w:ascii="Century Gothic" w:hAnsi="Century Gothic"/>
          <w:sz w:val="20"/>
          <w:szCs w:val="20"/>
        </w:rPr>
        <w:t>ze Stron.</w:t>
      </w:r>
    </w:p>
    <w:p w14:paraId="513AD8A8" w14:textId="77777777" w:rsidR="0059419D" w:rsidRDefault="0059419D" w:rsidP="00ED6DD3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3C1C3AA8" w14:textId="1C9700CF" w:rsidR="00ED4296" w:rsidRPr="00E130DA" w:rsidRDefault="00ED4296" w:rsidP="00E130DA">
      <w:pPr>
        <w:pStyle w:val="Nagwek2"/>
      </w:pPr>
      <w:r w:rsidRPr="00E130DA">
        <w:t xml:space="preserve">Art. </w:t>
      </w:r>
      <w:r w:rsidR="00B233B4" w:rsidRPr="00E130DA">
        <w:t>4</w:t>
      </w:r>
    </w:p>
    <w:p w14:paraId="241E8F43" w14:textId="77777777" w:rsidR="00ED6DD3" w:rsidRDefault="00ED6DD3" w:rsidP="00ED6DD3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790A2F">
        <w:rPr>
          <w:rFonts w:ascii="Century Gothic" w:hAnsi="Century Gothic"/>
          <w:sz w:val="20"/>
          <w:szCs w:val="20"/>
        </w:rPr>
        <w:t>Integralną część Aneksu stanowi</w:t>
      </w:r>
      <w:r>
        <w:rPr>
          <w:rFonts w:ascii="Century Gothic" w:hAnsi="Century Gothic"/>
          <w:sz w:val="20"/>
          <w:szCs w:val="20"/>
        </w:rPr>
        <w:t>ą załączniki:</w:t>
      </w:r>
    </w:p>
    <w:p w14:paraId="3149B8BD" w14:textId="22C08E4D" w:rsidR="00ED6DD3" w:rsidRDefault="00ED6DD3" w:rsidP="00ED6DD3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Pr="00140CAC">
        <w:rPr>
          <w:rFonts w:ascii="Century Gothic" w:hAnsi="Century Gothic"/>
          <w:sz w:val="20"/>
          <w:szCs w:val="20"/>
        </w:rPr>
        <w:t xml:space="preserve">ałącznik nr 1 – </w:t>
      </w:r>
      <w:r>
        <w:rPr>
          <w:rFonts w:ascii="Century Gothic" w:hAnsi="Century Gothic"/>
          <w:sz w:val="20"/>
          <w:szCs w:val="20"/>
        </w:rPr>
        <w:t>pełnomocnictwo nr MFiPR/405-PM/24 z dnia 8 lipca 2024 r.</w:t>
      </w:r>
      <w:r w:rsidR="00854669">
        <w:rPr>
          <w:rFonts w:ascii="Century Gothic" w:hAnsi="Century Gothic"/>
          <w:sz w:val="20"/>
          <w:szCs w:val="20"/>
        </w:rPr>
        <w:t>;</w:t>
      </w:r>
    </w:p>
    <w:p w14:paraId="00DDE005" w14:textId="65669B8F" w:rsidR="00ED6DD3" w:rsidRPr="00ED6DD3" w:rsidRDefault="00ED6DD3" w:rsidP="00ED6DD3">
      <w:pPr>
        <w:pStyle w:val="Akapitzlist"/>
        <w:numPr>
          <w:ilvl w:val="0"/>
          <w:numId w:val="9"/>
        </w:numPr>
        <w:spacing w:before="120" w:after="120" w:line="360" w:lineRule="auto"/>
        <w:ind w:left="703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ED6DD3">
        <w:rPr>
          <w:rFonts w:ascii="Century Gothic" w:hAnsi="Century Gothic"/>
          <w:sz w:val="20"/>
          <w:szCs w:val="20"/>
        </w:rPr>
        <w:t xml:space="preserve">Załącznik nr 2 – </w:t>
      </w:r>
      <w:r w:rsidR="00854669">
        <w:rPr>
          <w:rFonts w:ascii="Century Gothic" w:hAnsi="Century Gothic"/>
          <w:sz w:val="20"/>
          <w:szCs w:val="20"/>
        </w:rPr>
        <w:t xml:space="preserve">Uchwała Nr 1503/22 Zarządu Województwa Małopolskiego z dnia </w:t>
      </w:r>
      <w:r w:rsidR="00854669">
        <w:rPr>
          <w:rFonts w:ascii="Century Gothic" w:hAnsi="Century Gothic"/>
          <w:sz w:val="20"/>
          <w:szCs w:val="20"/>
        </w:rPr>
        <w:br/>
        <w:t xml:space="preserve">6 września 2022 r. w sprawie przyjęcia Kontraktu Programowego dla Województwa Małopolskiego oraz udzielenia upoważnienia do zawarcia Kontraktu Programowego </w:t>
      </w:r>
      <w:r w:rsidR="00854669">
        <w:rPr>
          <w:rFonts w:ascii="Century Gothic" w:hAnsi="Century Gothic"/>
          <w:sz w:val="20"/>
          <w:szCs w:val="20"/>
        </w:rPr>
        <w:br/>
        <w:t xml:space="preserve">w imieniu Zarządu Województwa, zmieniona Uchwałą Nr 1661/24 Zarządu Województwa Małopolskiego z dnia 6 sierpnia 2024 r. w sprawie zmiany Uchwały </w:t>
      </w:r>
      <w:r w:rsidR="00854669">
        <w:rPr>
          <w:rFonts w:ascii="Century Gothic" w:hAnsi="Century Gothic"/>
          <w:sz w:val="20"/>
          <w:szCs w:val="20"/>
        </w:rPr>
        <w:br/>
        <w:t>Nr 2198/22 z dnia 20 grudnia 2022 r. w sprawie wyznaczenia przedstawicieli Instytucji Zarządzającej programem regionalnym Fundusze Europejskie dla Małopolski 2021-2027 do składu Komitetu do spraw Umowy Partnerstwa na lata 2021-2027 oraz zmiany niektórych innych uchwał;</w:t>
      </w:r>
    </w:p>
    <w:p w14:paraId="67D5D4C3" w14:textId="40B9D30B" w:rsidR="00ED6DD3" w:rsidRDefault="00ED6DD3" w:rsidP="00ED6DD3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Załącznik nr 3 – </w:t>
      </w:r>
      <w:r w:rsidR="00B60440" w:rsidRPr="00B60440">
        <w:rPr>
          <w:rFonts w:ascii="Century Gothic" w:hAnsi="Century Gothic"/>
          <w:sz w:val="20"/>
          <w:szCs w:val="20"/>
        </w:rPr>
        <w:t>Algorytm przeliczania środków EFRR, EFS+ oraz FST</w:t>
      </w:r>
      <w:r w:rsidRPr="00140CAC">
        <w:rPr>
          <w:rFonts w:ascii="Century Gothic" w:hAnsi="Century Gothic"/>
          <w:sz w:val="20"/>
          <w:szCs w:val="20"/>
        </w:rPr>
        <w:t>.</w:t>
      </w:r>
    </w:p>
    <w:p w14:paraId="7DCA5FF7" w14:textId="77777777" w:rsidR="0059419D" w:rsidRPr="0059419D" w:rsidRDefault="0059419D" w:rsidP="0059419D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2E17037C" w14:textId="5CAD6161" w:rsidR="00B233B4" w:rsidRPr="00E130DA" w:rsidRDefault="00B233B4" w:rsidP="00E130DA">
      <w:pPr>
        <w:pStyle w:val="Nagwek2"/>
      </w:pPr>
      <w:r w:rsidRPr="00E130DA">
        <w:t>Art. 5</w:t>
      </w:r>
    </w:p>
    <w:p w14:paraId="43ED7ED8" w14:textId="77777777" w:rsidR="00B233B4" w:rsidRPr="00187A8A" w:rsidRDefault="00B233B4" w:rsidP="00B233B4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Aneks wchodzi w życie z dniem podpisania przez drugą Stronę.</w:t>
      </w:r>
    </w:p>
    <w:p w14:paraId="1A9FBBF4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14326680" w14:textId="77777777" w:rsidR="00854669" w:rsidRDefault="00854669">
      <w:p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br w:type="page"/>
      </w:r>
    </w:p>
    <w:p w14:paraId="51E653F7" w14:textId="77777777" w:rsidR="00EB3191" w:rsidRPr="00B85E69" w:rsidRDefault="00EB3191" w:rsidP="00EB31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960" w:after="120" w:line="240" w:lineRule="auto"/>
        <w:ind w:left="2832" w:hanging="2832"/>
        <w:rPr>
          <w:rFonts w:ascii="Century Gothic" w:eastAsia="Times New Roman" w:hAnsi="Century Gothic" w:cs="Calibri"/>
          <w:sz w:val="20"/>
          <w:szCs w:val="20"/>
          <w:lang w:eastAsia="pl-PL"/>
        </w:rPr>
      </w:pPr>
      <w:r>
        <w:rPr>
          <w:rFonts w:ascii="Century Gothic" w:eastAsia="Times New Roman" w:hAnsi="Century Gothic" w:cs="Calibri"/>
          <w:sz w:val="20"/>
          <w:szCs w:val="20"/>
          <w:lang w:eastAsia="pl-PL"/>
        </w:rPr>
        <w:lastRenderedPageBreak/>
        <w:t>Minister:</w:t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>Marszałek Województwa</w:t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Małopolskiego:</w:t>
      </w:r>
    </w:p>
    <w:p w14:paraId="0C2FFC1B" w14:textId="77777777" w:rsidR="00EB3191" w:rsidRPr="00B85E69" w:rsidRDefault="00EB3191" w:rsidP="00EB31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>(-)dr inż. Jacek Karnowski</w:t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(-) </w:t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>Łukasz Smółka</w:t>
      </w:r>
    </w:p>
    <w:p w14:paraId="27E75554" w14:textId="77777777" w:rsidR="00EB3191" w:rsidRPr="00B85E69" w:rsidRDefault="00EB3191" w:rsidP="00EB31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ind w:left="5664" w:hanging="5664"/>
        <w:rPr>
          <w:rFonts w:ascii="Century Gothic" w:eastAsia="Times New Roman" w:hAnsi="Century Gothic" w:cs="Calibri"/>
          <w:sz w:val="20"/>
          <w:szCs w:val="20"/>
          <w:lang w:eastAsia="pl-PL"/>
        </w:rPr>
      </w:pPr>
      <w:r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Sekretarz Stanu                                                             </w:t>
      </w: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>Marszałek Województwa Małopolskiego</w:t>
      </w:r>
    </w:p>
    <w:p w14:paraId="70C12FDC" w14:textId="7CCD7959" w:rsidR="00EB3191" w:rsidRDefault="00644021" w:rsidP="00EB31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rPr>
          <w:rFonts w:ascii="Century Gothic" w:eastAsia="Times New Roman" w:hAnsi="Century Gothic" w:cs="Calibri"/>
          <w:sz w:val="20"/>
          <w:szCs w:val="20"/>
          <w:lang w:eastAsia="pl-PL"/>
        </w:rPr>
      </w:pPr>
      <w:r>
        <w:rPr>
          <w:rFonts w:ascii="Century Gothic" w:eastAsia="Times New Roman" w:hAnsi="Century Gothic" w:cs="Calibri"/>
          <w:sz w:val="20"/>
          <w:szCs w:val="20"/>
          <w:lang w:eastAsia="pl-PL"/>
        </w:rPr>
        <w:t>27-06</w:t>
      </w:r>
      <w:r w:rsidR="00EB3191">
        <w:rPr>
          <w:rFonts w:ascii="Century Gothic" w:eastAsia="Times New Roman" w:hAnsi="Century Gothic" w:cs="Calibri"/>
          <w:sz w:val="20"/>
          <w:szCs w:val="20"/>
          <w:lang w:eastAsia="pl-PL"/>
        </w:rPr>
        <w:t>-</w:t>
      </w:r>
      <w:r w:rsidR="00EB3191"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>2025</w:t>
      </w:r>
      <w:r w:rsidR="00EB3191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="00EB3191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="00EB3191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="00EB3191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="00EB3191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="00EB3191">
        <w:rPr>
          <w:rFonts w:ascii="Century Gothic" w:eastAsia="Times New Roman" w:hAnsi="Century Gothic" w:cs="Calibri"/>
          <w:sz w:val="20"/>
          <w:szCs w:val="20"/>
          <w:lang w:eastAsia="pl-PL"/>
        </w:rPr>
        <w:tab/>
        <w:t xml:space="preserve">                    </w:t>
      </w:r>
      <w:r w:rsidR="00F55BF5">
        <w:rPr>
          <w:rFonts w:ascii="Century Gothic" w:eastAsia="Times New Roman" w:hAnsi="Century Gothic" w:cs="Calibri"/>
          <w:sz w:val="20"/>
          <w:szCs w:val="20"/>
          <w:lang w:eastAsia="pl-PL"/>
        </w:rPr>
        <w:t>25-07</w:t>
      </w:r>
      <w:r w:rsidR="00EB3191">
        <w:rPr>
          <w:rFonts w:ascii="Century Gothic" w:eastAsia="Times New Roman" w:hAnsi="Century Gothic" w:cs="Calibri"/>
          <w:sz w:val="20"/>
          <w:szCs w:val="20"/>
          <w:lang w:eastAsia="pl-PL"/>
        </w:rPr>
        <w:t>-2025</w:t>
      </w:r>
    </w:p>
    <w:p w14:paraId="71B53B46" w14:textId="6612C482" w:rsidR="00B100EC" w:rsidRPr="00B85E69" w:rsidRDefault="00B100EC" w:rsidP="00EB31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B100EC">
        <w:rPr>
          <w:rFonts w:ascii="Century Gothic" w:eastAsia="Times New Roman" w:hAnsi="Century Gothic" w:cs="Calibri"/>
          <w:sz w:val="20"/>
          <w:szCs w:val="20"/>
          <w:lang w:eastAsia="pl-PL"/>
        </w:rPr>
        <w:t>Minister</w:t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>stwo</w:t>
      </w:r>
      <w:r w:rsidRPr="00B100EC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Funduszy i Polityki Regionalnej                 </w:t>
      </w:r>
    </w:p>
    <w:p w14:paraId="3E55FB8A" w14:textId="77777777" w:rsidR="00EB3191" w:rsidRDefault="00EB3191" w:rsidP="00EB31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>____________________</w:t>
      </w: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ab/>
        <w:t>_____________________</w:t>
      </w: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ab/>
      </w:r>
    </w:p>
    <w:p w14:paraId="039FB747" w14:textId="37A3758B" w:rsidR="00EB3191" w:rsidRPr="00B85E69" w:rsidRDefault="00EB3191" w:rsidP="00B100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ind w:left="4248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>Wicemarszałek Województwa</w:t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Małopolskiego:</w:t>
      </w:r>
    </w:p>
    <w:p w14:paraId="2146BF9D" w14:textId="77777777" w:rsidR="00EB3191" w:rsidRPr="00B85E69" w:rsidRDefault="00EB3191" w:rsidP="00EB31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ind w:left="4956" w:firstLine="708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(-) </w:t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>Witold Kozłowski</w:t>
      </w:r>
    </w:p>
    <w:p w14:paraId="3231B2F1" w14:textId="77777777" w:rsidR="00EB3191" w:rsidRPr="00B85E69" w:rsidRDefault="00EB3191" w:rsidP="00EB31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120" w:line="240" w:lineRule="auto"/>
        <w:jc w:val="both"/>
        <w:rPr>
          <w:rFonts w:ascii="Century Gothic" w:eastAsia="Times New Roman" w:hAnsi="Century Gothic" w:cs="Calibri"/>
          <w:sz w:val="20"/>
          <w:szCs w:val="20"/>
          <w:lang w:eastAsia="pl-PL"/>
        </w:rPr>
      </w:pPr>
      <w:r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                                                                                   Wicemarszałek Województwa </w:t>
      </w:r>
      <w:r w:rsidRPr="00B85E69">
        <w:rPr>
          <w:rFonts w:ascii="Century Gothic" w:eastAsia="Times New Roman" w:hAnsi="Century Gothic" w:cs="Calibri"/>
          <w:sz w:val="20"/>
          <w:szCs w:val="20"/>
          <w:lang w:eastAsia="pl-PL"/>
        </w:rPr>
        <w:t>Małopolskiego</w:t>
      </w:r>
    </w:p>
    <w:p w14:paraId="37AA9746" w14:textId="437A78A7" w:rsidR="00EB3191" w:rsidRDefault="00EB3191" w:rsidP="00EB3191">
      <w:pPr>
        <w:spacing w:before="120" w:after="120"/>
        <w:rPr>
          <w:rFonts w:ascii="Century Gothic" w:eastAsia="Times New Roman" w:hAnsi="Century Gothic" w:cs="Calibri"/>
          <w:sz w:val="20"/>
          <w:szCs w:val="20"/>
          <w:lang w:eastAsia="pl-PL"/>
        </w:rPr>
      </w:pPr>
      <w:r>
        <w:rPr>
          <w:rFonts w:ascii="Century Gothic" w:eastAsia="Times New Roman" w:hAnsi="Century Gothic" w:cs="Calibri"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  <w:r w:rsidR="00F55BF5">
        <w:rPr>
          <w:rFonts w:ascii="Century Gothic" w:eastAsia="Times New Roman" w:hAnsi="Century Gothic" w:cs="Calibri"/>
          <w:sz w:val="20"/>
          <w:szCs w:val="20"/>
          <w:lang w:eastAsia="pl-PL"/>
        </w:rPr>
        <w:t>30-07</w:t>
      </w:r>
      <w:r>
        <w:rPr>
          <w:rFonts w:ascii="Century Gothic" w:eastAsia="Times New Roman" w:hAnsi="Century Gothic" w:cs="Calibri"/>
          <w:sz w:val="20"/>
          <w:szCs w:val="20"/>
          <w:lang w:eastAsia="pl-PL"/>
        </w:rPr>
        <w:t>-2025</w:t>
      </w:r>
    </w:p>
    <w:p w14:paraId="267A3C76" w14:textId="77777777" w:rsidR="00EB3191" w:rsidRDefault="00EB3191" w:rsidP="00EB3191">
      <w:pPr>
        <w:spacing w:before="120" w:after="120"/>
        <w:ind w:left="4956" w:firstLine="708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eastAsia="Times New Roman" w:hAnsi="Century Gothic" w:cs="Calibri"/>
          <w:sz w:val="20"/>
          <w:szCs w:val="20"/>
          <w:lang w:eastAsia="pl-PL"/>
        </w:rPr>
        <w:t>_____________________</w:t>
      </w:r>
    </w:p>
    <w:p w14:paraId="3A6E4127" w14:textId="77777777" w:rsidR="00EB3191" w:rsidRDefault="00EB3191" w:rsidP="00EB3191">
      <w:pPr>
        <w:spacing w:before="120" w:after="120"/>
        <w:ind w:left="4956" w:hanging="4956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Minister Funduszy i Polityki Regionalnej</w:t>
      </w:r>
    </w:p>
    <w:p w14:paraId="32C6372E" w14:textId="77777777" w:rsidR="00EB3191" w:rsidRDefault="00EB3191" w:rsidP="00EB3191">
      <w:pPr>
        <w:spacing w:before="120" w:after="120"/>
        <w:ind w:left="4956" w:hanging="4956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                   [pieczęć]</w:t>
      </w:r>
      <w:r>
        <w:rPr>
          <w:rFonts w:ascii="Century Gothic" w:hAnsi="Century Gothic" w:cstheme="minorHAnsi"/>
          <w:sz w:val="20"/>
          <w:szCs w:val="20"/>
        </w:rPr>
        <w:tab/>
      </w:r>
      <w:r w:rsidRPr="00C30ECD">
        <w:rPr>
          <w:rFonts w:ascii="Century Gothic" w:hAnsi="Century Gothic" w:cstheme="minorHAnsi"/>
          <w:sz w:val="20"/>
          <w:szCs w:val="20"/>
        </w:rPr>
        <w:t>Zarząd Województwa Mał</w:t>
      </w:r>
      <w:r>
        <w:rPr>
          <w:rFonts w:ascii="Century Gothic" w:hAnsi="Century Gothic" w:cstheme="minorHAnsi"/>
          <w:sz w:val="20"/>
          <w:szCs w:val="20"/>
        </w:rPr>
        <w:t>opolskiego</w:t>
      </w:r>
      <w:r w:rsidRPr="00C30ECD">
        <w:rPr>
          <w:rFonts w:ascii="Century Gothic" w:hAnsi="Century Gothic" w:cstheme="minorHAnsi"/>
          <w:sz w:val="20"/>
          <w:szCs w:val="20"/>
        </w:rPr>
        <w:t xml:space="preserve"> </w:t>
      </w:r>
      <w:r w:rsidRPr="00C30ECD">
        <w:rPr>
          <w:rFonts w:ascii="Century Gothic" w:hAnsi="Century Gothic" w:cstheme="minorHAnsi"/>
          <w:sz w:val="20"/>
          <w:szCs w:val="20"/>
        </w:rPr>
        <w:br/>
        <w:t xml:space="preserve">31-156 Kraków, ul. Basztowa 22, </w:t>
      </w:r>
      <w:r>
        <w:rPr>
          <w:rFonts w:ascii="Century Gothic" w:hAnsi="Century Gothic" w:cstheme="minorHAnsi"/>
          <w:sz w:val="20"/>
          <w:szCs w:val="20"/>
        </w:rPr>
        <w:br/>
        <w:t xml:space="preserve">     Adres do korespondencji:                             30-017 Kraków, </w:t>
      </w:r>
      <w:r w:rsidRPr="00C30ECD">
        <w:rPr>
          <w:rFonts w:ascii="Century Gothic" w:hAnsi="Century Gothic" w:cstheme="minorHAnsi"/>
          <w:sz w:val="20"/>
          <w:szCs w:val="20"/>
        </w:rPr>
        <w:t xml:space="preserve">ul. Racławicka 56 </w:t>
      </w:r>
    </w:p>
    <w:p w14:paraId="793FBA85" w14:textId="77777777" w:rsidR="00EB3191" w:rsidRPr="00C30ECD" w:rsidRDefault="00EB3191" w:rsidP="00EB3191">
      <w:pPr>
        <w:spacing w:before="120" w:after="120"/>
        <w:ind w:left="4956" w:hanging="4956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                                                                                                                </w:t>
      </w:r>
      <w:r w:rsidRPr="00C30ECD">
        <w:rPr>
          <w:rFonts w:ascii="Century Gothic" w:hAnsi="Century Gothic" w:cstheme="minorHAnsi"/>
          <w:sz w:val="20"/>
          <w:szCs w:val="20"/>
        </w:rPr>
        <w:t>[pieczęć]</w:t>
      </w:r>
    </w:p>
    <w:p w14:paraId="1CE38637" w14:textId="77777777" w:rsidR="00EB3191" w:rsidRDefault="00EB3191" w:rsidP="00EB3191">
      <w:pPr>
        <w:spacing w:before="120" w:after="120"/>
        <w:ind w:left="4956" w:hanging="4956"/>
        <w:rPr>
          <w:rFonts w:ascii="Century Gothic" w:hAnsi="Century Gothic" w:cstheme="minorHAnsi"/>
          <w:sz w:val="20"/>
          <w:szCs w:val="20"/>
        </w:rPr>
      </w:pPr>
    </w:p>
    <w:p w14:paraId="49786B17" w14:textId="6BBABD79" w:rsidR="00ED6DD3" w:rsidRDefault="00ED6DD3" w:rsidP="00ED6DD3">
      <w:pPr>
        <w:spacing w:before="240" w:after="120"/>
        <w:ind w:left="3900" w:firstLine="34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62475237" w14:textId="5C5424A1" w:rsidR="00DD7CEA" w:rsidRPr="00E130DA" w:rsidRDefault="00DD7CEA" w:rsidP="00E130DA">
      <w:pPr>
        <w:pStyle w:val="Nagwek3"/>
      </w:pPr>
      <w:bookmarkStart w:id="1" w:name="_GoBack"/>
      <w:r w:rsidRPr="00E130DA">
        <w:lastRenderedPageBreak/>
        <w:t xml:space="preserve">Załącznik nr </w:t>
      </w:r>
      <w:r w:rsidR="00ED6DD3" w:rsidRPr="00E130DA">
        <w:t>3</w:t>
      </w:r>
    </w:p>
    <w:bookmarkEnd w:id="1"/>
    <w:p w14:paraId="483F0397" w14:textId="3BD3E86C" w:rsidR="00DD7CEA" w:rsidRPr="00DD7CEA" w:rsidRDefault="00DD7CEA" w:rsidP="00DD7CEA">
      <w:pPr>
        <w:spacing w:after="200" w:line="276" w:lineRule="auto"/>
        <w:rPr>
          <w:rFonts w:ascii="Century Gothic" w:eastAsia="Times New Roman" w:hAnsi="Century Gothic" w:cs="Calibri"/>
          <w:bCs/>
          <w:i/>
          <w:sz w:val="18"/>
          <w:szCs w:val="18"/>
          <w:lang w:eastAsia="pl-PL"/>
        </w:rPr>
      </w:pPr>
      <w:r w:rsidRPr="00DD7CEA">
        <w:rPr>
          <w:rFonts w:ascii="Century Gothic" w:eastAsia="Times New Roman" w:hAnsi="Century Gothic" w:cs="Calibri"/>
          <w:bCs/>
          <w:i/>
          <w:sz w:val="18"/>
          <w:szCs w:val="18"/>
          <w:lang w:eastAsia="pl-PL"/>
        </w:rPr>
        <w:t>Algorytm przeliczania środków EFRR, EFS+ oraz FST</w:t>
      </w:r>
    </w:p>
    <w:p w14:paraId="3479A2EE" w14:textId="77777777" w:rsidR="00DD7CEA" w:rsidRPr="00DD7CEA" w:rsidRDefault="00DD7CEA" w:rsidP="00DD7CEA">
      <w:pPr>
        <w:spacing w:after="120" w:line="240" w:lineRule="auto"/>
        <w:jc w:val="both"/>
        <w:rPr>
          <w:rFonts w:ascii="Century Gothic" w:eastAsia="Times New Roman" w:hAnsi="Century Gothic" w:cs="Calibri"/>
          <w:bCs/>
          <w:iCs/>
          <w:sz w:val="18"/>
          <w:szCs w:val="18"/>
          <w:lang w:eastAsia="pl-PL"/>
        </w:rPr>
      </w:pPr>
    </w:p>
    <w:p w14:paraId="40D556BD" w14:textId="77777777" w:rsidR="000D40A2" w:rsidRPr="00024BB0" w:rsidRDefault="000D40A2" w:rsidP="000D40A2">
      <w:pPr>
        <w:spacing w:after="120" w:line="276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024BB0">
        <w:rPr>
          <w:rFonts w:ascii="Century Gothic" w:hAnsi="Century Gothic" w:cs="Calibri"/>
          <w:b/>
          <w:sz w:val="18"/>
          <w:szCs w:val="18"/>
        </w:rPr>
        <w:t>L</w:t>
      </w:r>
      <w:r>
        <w:rPr>
          <w:rFonts w:ascii="Century Gothic" w:hAnsi="Century Gothic" w:cs="Calibri"/>
          <w:b/>
          <w:sz w:val="18"/>
          <w:szCs w:val="18"/>
        </w:rPr>
        <w:t xml:space="preserve"> </w:t>
      </w:r>
      <w:r w:rsidRPr="00024BB0">
        <w:rPr>
          <w:rFonts w:ascii="Century Gothic" w:hAnsi="Century Gothic" w:cs="Calibri"/>
          <w:b/>
          <w:sz w:val="18"/>
          <w:szCs w:val="18"/>
        </w:rPr>
        <w:t>= A – U</w:t>
      </w:r>
      <w:r w:rsidRPr="00024BB0">
        <w:rPr>
          <w:rFonts w:ascii="Century Gothic" w:hAnsi="Century Gothic" w:cs="Calibri"/>
          <w:b/>
          <w:sz w:val="18"/>
          <w:szCs w:val="18"/>
          <w:vertAlign w:val="subscript"/>
        </w:rPr>
        <w:t xml:space="preserve">PLN </w:t>
      </w:r>
      <w:r w:rsidRPr="00024BB0">
        <w:rPr>
          <w:rFonts w:ascii="Century Gothic" w:hAnsi="Century Gothic" w:cs="Calibri"/>
          <w:b/>
          <w:sz w:val="18"/>
          <w:szCs w:val="18"/>
        </w:rPr>
        <w:t>+ KS</w:t>
      </w:r>
    </w:p>
    <w:p w14:paraId="536D7AC2" w14:textId="77777777" w:rsidR="000D40A2" w:rsidRPr="00024BB0" w:rsidRDefault="000D40A2" w:rsidP="000D40A2">
      <w:pPr>
        <w:keepNext/>
        <w:spacing w:before="240" w:after="240" w:line="276" w:lineRule="auto"/>
        <w:outlineLvl w:val="3"/>
        <w:rPr>
          <w:rFonts w:ascii="Century Gothic" w:hAnsi="Century Gothic" w:cs="Calibri"/>
          <w:bCs/>
          <w:sz w:val="18"/>
          <w:szCs w:val="18"/>
        </w:rPr>
      </w:pPr>
      <w:r>
        <w:rPr>
          <w:rFonts w:ascii="Century Gothic" w:hAnsi="Century Gothic" w:cs="Calibri"/>
          <w:bCs/>
          <w:sz w:val="18"/>
          <w:szCs w:val="18"/>
        </w:rPr>
        <w:t>P</w:t>
      </w:r>
      <w:r w:rsidRPr="00024BB0">
        <w:rPr>
          <w:rFonts w:ascii="Century Gothic" w:hAnsi="Century Gothic" w:cs="Calibri"/>
          <w:bCs/>
          <w:sz w:val="18"/>
          <w:szCs w:val="18"/>
        </w:rPr>
        <w:t>oszczególne wartości oznaczają odpowiednio:</w:t>
      </w:r>
    </w:p>
    <w:p w14:paraId="2A0B461C" w14:textId="77777777" w:rsidR="000D40A2" w:rsidRDefault="000D40A2" w:rsidP="000D40A2">
      <w:pPr>
        <w:spacing w:before="120" w:after="120" w:line="276" w:lineRule="auto"/>
        <w:ind w:left="839" w:hanging="482"/>
        <w:jc w:val="both"/>
        <w:rPr>
          <w:rFonts w:ascii="Century Gothic" w:hAnsi="Century Gothic" w:cs="Calibri"/>
          <w:sz w:val="18"/>
          <w:szCs w:val="18"/>
        </w:rPr>
      </w:pPr>
      <w:r w:rsidRPr="00024BB0">
        <w:rPr>
          <w:rFonts w:ascii="Century Gothic" w:hAnsi="Century Gothic" w:cs="Calibri"/>
          <w:b/>
          <w:sz w:val="18"/>
          <w:szCs w:val="18"/>
        </w:rPr>
        <w:t xml:space="preserve">L </w:t>
      </w:r>
      <w:r w:rsidRPr="00024BB0">
        <w:rPr>
          <w:rFonts w:ascii="Century Gothic" w:hAnsi="Century Gothic" w:cs="Calibri"/>
          <w:sz w:val="18"/>
          <w:szCs w:val="18"/>
        </w:rPr>
        <w:t xml:space="preserve">- </w:t>
      </w:r>
      <w:r w:rsidRPr="00024BB0">
        <w:rPr>
          <w:rFonts w:ascii="Century Gothic" w:hAnsi="Century Gothic" w:cs="Calibri"/>
          <w:sz w:val="18"/>
          <w:szCs w:val="18"/>
        </w:rPr>
        <w:tab/>
        <w:t xml:space="preserve">to limit środków </w:t>
      </w:r>
      <w:r>
        <w:rPr>
          <w:rFonts w:ascii="Century Gothic" w:hAnsi="Century Gothic" w:cs="Calibri"/>
          <w:sz w:val="18"/>
          <w:szCs w:val="18"/>
        </w:rPr>
        <w:t xml:space="preserve">unijnych wyrażonych </w:t>
      </w:r>
      <w:r w:rsidRPr="00024BB0">
        <w:rPr>
          <w:rFonts w:ascii="Century Gothic" w:hAnsi="Century Gothic" w:cs="Calibri"/>
          <w:sz w:val="18"/>
          <w:szCs w:val="18"/>
        </w:rPr>
        <w:t xml:space="preserve">w PLN, </w:t>
      </w:r>
      <w:r>
        <w:rPr>
          <w:rFonts w:ascii="Century Gothic" w:hAnsi="Century Gothic" w:cs="Calibri"/>
          <w:sz w:val="18"/>
          <w:szCs w:val="18"/>
        </w:rPr>
        <w:t xml:space="preserve">możliwy do zaangażowania </w:t>
      </w:r>
      <w:r w:rsidRPr="00024BB0">
        <w:rPr>
          <w:rFonts w:ascii="Century Gothic" w:hAnsi="Century Gothic" w:cs="Calibri"/>
          <w:sz w:val="18"/>
          <w:szCs w:val="18"/>
        </w:rPr>
        <w:t xml:space="preserve">w danym miesiącu </w:t>
      </w:r>
      <w:r>
        <w:rPr>
          <w:rFonts w:ascii="Century Gothic" w:hAnsi="Century Gothic" w:cs="Calibri"/>
          <w:sz w:val="18"/>
          <w:szCs w:val="18"/>
        </w:rPr>
        <w:br/>
      </w:r>
      <w:r w:rsidRPr="00024BB0">
        <w:rPr>
          <w:rFonts w:ascii="Century Gothic" w:hAnsi="Century Gothic" w:cs="Calibri"/>
          <w:sz w:val="18"/>
          <w:szCs w:val="18"/>
        </w:rPr>
        <w:t>w ramach zawieranych umów o dofinansowanie</w:t>
      </w:r>
      <w:r>
        <w:rPr>
          <w:rFonts w:ascii="Century Gothic" w:hAnsi="Century Gothic" w:cs="Calibri"/>
          <w:sz w:val="18"/>
          <w:szCs w:val="18"/>
        </w:rPr>
        <w:t xml:space="preserve"> projektu</w:t>
      </w:r>
      <w:r w:rsidRPr="00024BB0">
        <w:rPr>
          <w:rFonts w:ascii="Century Gothic" w:hAnsi="Century Gothic" w:cs="Calibri"/>
          <w:sz w:val="18"/>
          <w:szCs w:val="18"/>
        </w:rPr>
        <w:t xml:space="preserve">/podejmowanych decyzji </w:t>
      </w:r>
      <w:r>
        <w:rPr>
          <w:rFonts w:ascii="Century Gothic" w:hAnsi="Century Gothic" w:cs="Calibri"/>
          <w:sz w:val="18"/>
          <w:szCs w:val="18"/>
        </w:rPr>
        <w:br/>
      </w:r>
      <w:r w:rsidRPr="00024BB0">
        <w:rPr>
          <w:rFonts w:ascii="Century Gothic" w:hAnsi="Century Gothic" w:cs="Calibri"/>
          <w:sz w:val="18"/>
          <w:szCs w:val="18"/>
        </w:rPr>
        <w:t>o dofinansowaniu</w:t>
      </w:r>
      <w:r>
        <w:rPr>
          <w:rFonts w:ascii="Century Gothic" w:hAnsi="Century Gothic" w:cs="Calibri"/>
          <w:sz w:val="18"/>
          <w:szCs w:val="18"/>
        </w:rPr>
        <w:t xml:space="preserve"> projektu w danym działaniu</w:t>
      </w:r>
      <w:r w:rsidRPr="00024BB0">
        <w:rPr>
          <w:rFonts w:ascii="Century Gothic" w:hAnsi="Century Gothic" w:cs="Calibri"/>
          <w:sz w:val="18"/>
          <w:szCs w:val="18"/>
        </w:rPr>
        <w:t xml:space="preserve">. Limit dotyczy </w:t>
      </w:r>
      <w:r>
        <w:rPr>
          <w:rFonts w:ascii="Century Gothic" w:hAnsi="Century Gothic" w:cs="Calibri"/>
          <w:sz w:val="18"/>
          <w:szCs w:val="18"/>
        </w:rPr>
        <w:t>wszystkich</w:t>
      </w:r>
      <w:r w:rsidRPr="00024BB0">
        <w:rPr>
          <w:rFonts w:ascii="Century Gothic" w:hAnsi="Century Gothic" w:cs="Calibri"/>
          <w:sz w:val="18"/>
          <w:szCs w:val="18"/>
        </w:rPr>
        <w:t xml:space="preserve"> projektów</w:t>
      </w:r>
      <w:r>
        <w:rPr>
          <w:rFonts w:ascii="Century Gothic" w:hAnsi="Century Gothic" w:cs="Calibri"/>
          <w:sz w:val="18"/>
          <w:szCs w:val="18"/>
        </w:rPr>
        <w:t xml:space="preserve">, zarówno konkurencyjnych jak i niekonkurencyjnych. </w:t>
      </w:r>
      <w:r w:rsidRPr="00024BB0">
        <w:rPr>
          <w:rFonts w:ascii="Century Gothic" w:hAnsi="Century Gothic" w:cs="Calibri"/>
          <w:sz w:val="18"/>
          <w:szCs w:val="18"/>
        </w:rPr>
        <w:t xml:space="preserve">Wartość umów/decyzji dotyczących projektów zgłoszonych do wyboru, jakie będą podpisane w okresie objętym limitem musi uwzględniać przewidywane umowy/decyzje dotyczące projektów </w:t>
      </w:r>
      <w:r>
        <w:rPr>
          <w:rFonts w:ascii="Century Gothic" w:hAnsi="Century Gothic" w:cs="Calibri"/>
          <w:sz w:val="18"/>
          <w:szCs w:val="18"/>
        </w:rPr>
        <w:t>niekonkurencyjnych w taki sposób, aby:</w:t>
      </w:r>
    </w:p>
    <w:p w14:paraId="0D8D6DA7" w14:textId="77777777" w:rsidR="000D40A2" w:rsidRDefault="000D40A2" w:rsidP="000D40A2">
      <w:pPr>
        <w:pStyle w:val="Akapitzlist"/>
        <w:numPr>
          <w:ilvl w:val="0"/>
          <w:numId w:val="12"/>
        </w:numPr>
        <w:spacing w:before="120" w:after="120" w:line="276" w:lineRule="auto"/>
        <w:ind w:left="1196" w:hanging="357"/>
        <w:contextualSpacing w:val="0"/>
        <w:jc w:val="both"/>
        <w:rPr>
          <w:rFonts w:ascii="Century Gothic" w:hAnsi="Century Gothic" w:cs="Calibri"/>
          <w:sz w:val="18"/>
          <w:szCs w:val="18"/>
        </w:rPr>
      </w:pPr>
      <w:r w:rsidRPr="00CE3CB1">
        <w:rPr>
          <w:rFonts w:ascii="Century Gothic" w:hAnsi="Century Gothic" w:cs="Calibri"/>
          <w:sz w:val="18"/>
          <w:szCs w:val="18"/>
        </w:rPr>
        <w:t xml:space="preserve">łączna wartość podpisanych umów/podjętych </w:t>
      </w:r>
      <w:r>
        <w:rPr>
          <w:rFonts w:ascii="Century Gothic" w:hAnsi="Century Gothic" w:cs="Calibri"/>
          <w:sz w:val="18"/>
          <w:szCs w:val="18"/>
        </w:rPr>
        <w:t>decyzji w omawianym okresie nie przekraczała limitu L,</w:t>
      </w:r>
    </w:p>
    <w:p w14:paraId="05B44C1B" w14:textId="77777777" w:rsidR="000D40A2" w:rsidRPr="00CE3CB1" w:rsidRDefault="000D40A2" w:rsidP="000D40A2">
      <w:pPr>
        <w:pStyle w:val="Akapitzlist"/>
        <w:numPr>
          <w:ilvl w:val="0"/>
          <w:numId w:val="12"/>
        </w:numPr>
        <w:spacing w:before="120" w:after="120" w:line="276" w:lineRule="auto"/>
        <w:ind w:left="1196" w:hanging="357"/>
        <w:contextualSpacing w:val="0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 jednocześnie umożliwiała podpisanie następnych umów/podjęcie następnych decyzji dotyczących projektów niekonkurencyjnych w kolejnych okresach.</w:t>
      </w:r>
    </w:p>
    <w:p w14:paraId="70D85044" w14:textId="77777777" w:rsidR="000D40A2" w:rsidRPr="00024BB0" w:rsidRDefault="000D40A2" w:rsidP="000D40A2">
      <w:pPr>
        <w:spacing w:before="120" w:after="120" w:line="276" w:lineRule="auto"/>
        <w:ind w:left="839"/>
        <w:jc w:val="both"/>
        <w:rPr>
          <w:rFonts w:ascii="Century Gothic" w:hAnsi="Century Gothic" w:cs="Calibri"/>
          <w:bCs/>
          <w:sz w:val="18"/>
          <w:szCs w:val="18"/>
        </w:rPr>
      </w:pPr>
      <w:r w:rsidRPr="00024BB0">
        <w:rPr>
          <w:rFonts w:ascii="Century Gothic" w:hAnsi="Century Gothic" w:cs="Calibri"/>
          <w:sz w:val="18"/>
          <w:szCs w:val="18"/>
        </w:rPr>
        <w:t>W sytuacji, gdy limit środków do zakontraktowania w danym działaniu jest większy niż limit dla całe</w:t>
      </w:r>
      <w:r>
        <w:rPr>
          <w:rFonts w:ascii="Century Gothic" w:hAnsi="Century Gothic" w:cs="Calibri"/>
          <w:sz w:val="18"/>
          <w:szCs w:val="18"/>
        </w:rPr>
        <w:t>go priorytetu</w:t>
      </w:r>
      <w:r w:rsidRPr="00024BB0">
        <w:rPr>
          <w:rFonts w:ascii="Century Gothic" w:hAnsi="Century Gothic" w:cs="Calibri"/>
          <w:sz w:val="18"/>
          <w:szCs w:val="18"/>
        </w:rPr>
        <w:t>, kontraktacj</w:t>
      </w:r>
      <w:r>
        <w:rPr>
          <w:rFonts w:ascii="Century Gothic" w:hAnsi="Century Gothic" w:cs="Calibri"/>
          <w:sz w:val="18"/>
          <w:szCs w:val="18"/>
        </w:rPr>
        <w:t>a</w:t>
      </w:r>
      <w:r w:rsidRPr="00024BB0">
        <w:rPr>
          <w:rFonts w:ascii="Century Gothic" w:hAnsi="Century Gothic" w:cs="Calibri"/>
          <w:sz w:val="18"/>
          <w:szCs w:val="18"/>
        </w:rPr>
        <w:t xml:space="preserve"> w ramach danego działania </w:t>
      </w:r>
      <w:r>
        <w:rPr>
          <w:rFonts w:ascii="Century Gothic" w:hAnsi="Century Gothic" w:cs="Calibri"/>
          <w:sz w:val="18"/>
          <w:szCs w:val="18"/>
        </w:rPr>
        <w:t xml:space="preserve">możliwa jest do </w:t>
      </w:r>
      <w:r w:rsidRPr="00024BB0">
        <w:rPr>
          <w:rFonts w:ascii="Century Gothic" w:hAnsi="Century Gothic" w:cs="Calibri"/>
          <w:sz w:val="18"/>
          <w:szCs w:val="18"/>
        </w:rPr>
        <w:t>wysokości środków dostępnych dla całe</w:t>
      </w:r>
      <w:r>
        <w:rPr>
          <w:rFonts w:ascii="Century Gothic" w:hAnsi="Century Gothic" w:cs="Calibri"/>
          <w:sz w:val="18"/>
          <w:szCs w:val="18"/>
        </w:rPr>
        <w:t>go</w:t>
      </w:r>
      <w:r w:rsidRPr="00024BB0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>priorytetu</w:t>
      </w:r>
      <w:r w:rsidRPr="00024BB0">
        <w:rPr>
          <w:rFonts w:ascii="Century Gothic" w:hAnsi="Century Gothic" w:cs="Calibri"/>
          <w:sz w:val="18"/>
          <w:szCs w:val="18"/>
        </w:rPr>
        <w:t xml:space="preserve">. Natomiast, gdy w ramach </w:t>
      </w:r>
      <w:r>
        <w:rPr>
          <w:rFonts w:ascii="Century Gothic" w:hAnsi="Century Gothic" w:cs="Calibri"/>
          <w:sz w:val="18"/>
          <w:szCs w:val="18"/>
        </w:rPr>
        <w:t>priorytetu</w:t>
      </w:r>
      <w:r w:rsidRPr="00024BB0">
        <w:rPr>
          <w:rFonts w:ascii="Century Gothic" w:hAnsi="Century Gothic" w:cs="Calibri"/>
          <w:sz w:val="18"/>
          <w:szCs w:val="18"/>
        </w:rPr>
        <w:t xml:space="preserve"> brak jest jakichkolwiek wolnych środków do zakontraktowania, wówczas nie ma możliwości dalszej kontraktacji </w:t>
      </w:r>
      <w:r>
        <w:rPr>
          <w:rFonts w:ascii="Century Gothic" w:hAnsi="Century Gothic" w:cs="Calibri"/>
          <w:sz w:val="18"/>
          <w:szCs w:val="18"/>
        </w:rPr>
        <w:br/>
      </w:r>
      <w:r w:rsidRPr="00024BB0">
        <w:rPr>
          <w:rFonts w:ascii="Century Gothic" w:hAnsi="Century Gothic" w:cs="Calibri"/>
          <w:sz w:val="18"/>
          <w:szCs w:val="18"/>
        </w:rPr>
        <w:t>w działaniach, w których limit nie został wyczerpany.</w:t>
      </w:r>
      <w:r>
        <w:rPr>
          <w:rFonts w:ascii="Century Gothic" w:hAnsi="Century Gothic" w:cs="Calibri"/>
          <w:sz w:val="18"/>
          <w:szCs w:val="18"/>
        </w:rPr>
        <w:t xml:space="preserve"> Jednocześnie możliwość łącznej kontraktacji we wszystkich osiach danego Funduszu nie może przekraczać limitu wyznaczonego dla całego Funduszu.</w:t>
      </w:r>
    </w:p>
    <w:p w14:paraId="358C4434" w14:textId="77777777" w:rsidR="000D40A2" w:rsidRPr="00024BB0" w:rsidRDefault="000D40A2" w:rsidP="000D40A2">
      <w:pPr>
        <w:spacing w:before="240" w:after="120" w:line="276" w:lineRule="auto"/>
        <w:ind w:left="839" w:hanging="482"/>
        <w:jc w:val="both"/>
        <w:rPr>
          <w:rFonts w:ascii="Century Gothic" w:hAnsi="Century Gothic" w:cs="Calibri"/>
          <w:sz w:val="18"/>
          <w:szCs w:val="18"/>
        </w:rPr>
      </w:pPr>
      <w:r w:rsidRPr="00024BB0">
        <w:rPr>
          <w:rFonts w:ascii="Century Gothic" w:hAnsi="Century Gothic" w:cs="Calibri"/>
          <w:b/>
          <w:sz w:val="18"/>
          <w:szCs w:val="18"/>
        </w:rPr>
        <w:t>A</w:t>
      </w:r>
      <w:r w:rsidRPr="00024BB0">
        <w:rPr>
          <w:rFonts w:ascii="Century Gothic" w:hAnsi="Century Gothic" w:cs="Calibri"/>
          <w:sz w:val="18"/>
          <w:szCs w:val="18"/>
        </w:rPr>
        <w:t xml:space="preserve"> - </w:t>
      </w:r>
      <w:r w:rsidRPr="00024BB0">
        <w:rPr>
          <w:rFonts w:ascii="Century Gothic" w:hAnsi="Century Gothic" w:cs="Calibri"/>
          <w:sz w:val="18"/>
          <w:szCs w:val="18"/>
        </w:rPr>
        <w:tab/>
        <w:t xml:space="preserve">to wyrażona w PLN wartość środków </w:t>
      </w:r>
      <w:r>
        <w:rPr>
          <w:rFonts w:ascii="Century Gothic" w:hAnsi="Century Gothic" w:cs="Calibri"/>
          <w:sz w:val="18"/>
          <w:szCs w:val="18"/>
        </w:rPr>
        <w:t>unijnych</w:t>
      </w:r>
      <w:r w:rsidRPr="00024BB0">
        <w:rPr>
          <w:rFonts w:ascii="Century Gothic" w:hAnsi="Century Gothic" w:cs="Calibri"/>
          <w:sz w:val="18"/>
          <w:szCs w:val="18"/>
        </w:rPr>
        <w:t xml:space="preserve"> w ramach danego działania jaka może być objęta umowami/decyzjami o dofinansowanie w całym okresie programowania 2021-2027</w:t>
      </w:r>
    </w:p>
    <w:p w14:paraId="61215056" w14:textId="77777777" w:rsidR="000D40A2" w:rsidRPr="00024BB0" w:rsidRDefault="000D40A2" w:rsidP="000D40A2">
      <w:pPr>
        <w:spacing w:after="120" w:line="276" w:lineRule="auto"/>
        <w:ind w:left="1077"/>
        <w:jc w:val="center"/>
        <w:rPr>
          <w:rFonts w:ascii="Century Gothic" w:hAnsi="Century Gothic" w:cs="Calibri"/>
          <w:b/>
          <w:sz w:val="18"/>
          <w:szCs w:val="18"/>
          <w:lang w:val="fr-FR"/>
        </w:rPr>
      </w:pPr>
      <w:r w:rsidRPr="00024BB0">
        <w:rPr>
          <w:rFonts w:ascii="Century Gothic" w:hAnsi="Century Gothic" w:cs="Calibri"/>
          <w:b/>
          <w:sz w:val="18"/>
          <w:szCs w:val="18"/>
          <w:lang w:val="fr-FR"/>
        </w:rPr>
        <w:t>A = [</w:t>
      </w:r>
      <w:r w:rsidRPr="00437DB6">
        <w:rPr>
          <w:rFonts w:ascii="Century Gothic" w:hAnsi="Century Gothic" w:cs="Calibri"/>
          <w:b/>
          <w:sz w:val="18"/>
          <w:szCs w:val="18"/>
          <w:lang w:val="en-GB"/>
        </w:rPr>
        <w:t>P</w:t>
      </w:r>
      <w:r w:rsidRPr="00437DB6">
        <w:rPr>
          <w:rFonts w:ascii="Century Gothic" w:hAnsi="Century Gothic" w:cs="Calibri"/>
          <w:b/>
          <w:sz w:val="18"/>
          <w:szCs w:val="18"/>
          <w:vertAlign w:val="subscript"/>
          <w:lang w:val="en-GB"/>
        </w:rPr>
        <w:t>PLN</w:t>
      </w:r>
      <w:r w:rsidRPr="00437DB6">
        <w:rPr>
          <w:rFonts w:ascii="Century Gothic" w:hAnsi="Century Gothic" w:cs="Calibri"/>
          <w:b/>
          <w:sz w:val="18"/>
          <w:szCs w:val="18"/>
          <w:lang w:val="en-GB"/>
        </w:rPr>
        <w:t xml:space="preserve"> + (PO</w:t>
      </w:r>
      <w:r w:rsidRPr="00437DB6">
        <w:rPr>
          <w:rFonts w:ascii="Century Gothic" w:hAnsi="Century Gothic" w:cs="Calibri"/>
          <w:b/>
          <w:sz w:val="18"/>
          <w:szCs w:val="18"/>
          <w:vertAlign w:val="subscript"/>
          <w:lang w:val="en-GB"/>
        </w:rPr>
        <w:t xml:space="preserve">EUR </w:t>
      </w:r>
      <w:r w:rsidRPr="00437DB6">
        <w:rPr>
          <w:rFonts w:ascii="Century Gothic" w:hAnsi="Century Gothic" w:cs="Calibri"/>
          <w:b/>
          <w:sz w:val="18"/>
          <w:szCs w:val="18"/>
          <w:lang w:val="en-GB"/>
        </w:rPr>
        <w:t>- P</w:t>
      </w:r>
      <w:r w:rsidRPr="00437DB6">
        <w:rPr>
          <w:rFonts w:ascii="Century Gothic" w:hAnsi="Century Gothic" w:cs="Calibri"/>
          <w:b/>
          <w:sz w:val="18"/>
          <w:szCs w:val="18"/>
          <w:vertAlign w:val="subscript"/>
          <w:lang w:val="en-GB"/>
        </w:rPr>
        <w:t>EUR</w:t>
      </w:r>
      <w:r w:rsidRPr="00437DB6">
        <w:rPr>
          <w:rFonts w:ascii="Century Gothic" w:hAnsi="Century Gothic" w:cs="Calibri"/>
          <w:b/>
          <w:sz w:val="18"/>
          <w:szCs w:val="18"/>
          <w:lang w:val="en-GB"/>
        </w:rPr>
        <w:t xml:space="preserve">) </w:t>
      </w:r>
      <w:r w:rsidRPr="00024BB0">
        <w:rPr>
          <w:rFonts w:ascii="Century Gothic" w:hAnsi="Century Gothic" w:cs="Calibri"/>
          <w:b/>
          <w:sz w:val="18"/>
          <w:szCs w:val="18"/>
          <w:lang w:val="fr-FR"/>
        </w:rPr>
        <w:t>* K</w:t>
      </w:r>
      <w:r w:rsidRPr="00024BB0">
        <w:rPr>
          <w:rFonts w:ascii="Century Gothic" w:hAnsi="Century Gothic" w:cs="Calibri"/>
          <w:b/>
          <w:sz w:val="18"/>
          <w:szCs w:val="18"/>
          <w:vertAlign w:val="subscript"/>
          <w:lang w:val="fr-FR"/>
        </w:rPr>
        <w:t>EBC</w:t>
      </w:r>
      <w:r w:rsidRPr="00024BB0">
        <w:rPr>
          <w:rFonts w:ascii="Century Gothic" w:hAnsi="Century Gothic" w:cs="Calibri"/>
          <w:b/>
          <w:sz w:val="18"/>
          <w:szCs w:val="18"/>
          <w:lang w:val="fr-FR"/>
        </w:rPr>
        <w:t>]</w:t>
      </w:r>
    </w:p>
    <w:p w14:paraId="5613DE17" w14:textId="77777777" w:rsidR="000D40A2" w:rsidRPr="00024BB0" w:rsidRDefault="000D40A2" w:rsidP="000D40A2">
      <w:pPr>
        <w:spacing w:after="120"/>
        <w:ind w:left="1440"/>
        <w:jc w:val="both"/>
        <w:rPr>
          <w:rFonts w:ascii="Century Gothic" w:hAnsi="Century Gothic" w:cs="Calibri"/>
          <w:sz w:val="18"/>
          <w:szCs w:val="18"/>
        </w:rPr>
      </w:pPr>
      <w:r w:rsidRPr="00024BB0">
        <w:rPr>
          <w:rFonts w:ascii="Century Gothic" w:hAnsi="Century Gothic" w:cs="Calibri"/>
          <w:sz w:val="18"/>
          <w:szCs w:val="18"/>
        </w:rPr>
        <w:t>gdzie:</w:t>
      </w:r>
    </w:p>
    <w:p w14:paraId="533BF2F1" w14:textId="77777777" w:rsidR="000D40A2" w:rsidRPr="00024BB0" w:rsidRDefault="000D40A2" w:rsidP="000D40A2">
      <w:pPr>
        <w:spacing w:after="120" w:line="276" w:lineRule="auto"/>
        <w:ind w:left="1440"/>
        <w:jc w:val="both"/>
        <w:rPr>
          <w:rFonts w:ascii="Century Gothic" w:hAnsi="Century Gothic" w:cs="Calibri"/>
          <w:sz w:val="18"/>
          <w:szCs w:val="18"/>
        </w:rPr>
      </w:pPr>
      <w:r w:rsidRPr="00024BB0">
        <w:rPr>
          <w:rFonts w:ascii="Century Gothic" w:hAnsi="Century Gothic" w:cs="Calibri"/>
          <w:b/>
          <w:sz w:val="18"/>
          <w:szCs w:val="18"/>
        </w:rPr>
        <w:t>P</w:t>
      </w:r>
      <w:r w:rsidRPr="00024BB0">
        <w:rPr>
          <w:rFonts w:ascii="Century Gothic" w:hAnsi="Century Gothic" w:cs="Calibri"/>
          <w:b/>
          <w:sz w:val="18"/>
          <w:szCs w:val="18"/>
          <w:vertAlign w:val="subscript"/>
        </w:rPr>
        <w:t>PLN</w:t>
      </w:r>
      <w:r w:rsidRPr="00024BB0">
        <w:rPr>
          <w:rFonts w:ascii="Century Gothic" w:hAnsi="Century Gothic" w:cs="Calibri"/>
          <w:sz w:val="18"/>
          <w:szCs w:val="18"/>
          <w:vertAlign w:val="subscript"/>
        </w:rPr>
        <w:t xml:space="preserve"> </w:t>
      </w:r>
      <w:r w:rsidRPr="00024BB0">
        <w:rPr>
          <w:rFonts w:ascii="Century Gothic" w:hAnsi="Century Gothic" w:cs="Calibri"/>
          <w:sz w:val="18"/>
          <w:szCs w:val="18"/>
        </w:rPr>
        <w:t>– wartość wydatków kwalifikowa</w:t>
      </w:r>
      <w:r>
        <w:rPr>
          <w:rFonts w:ascii="Century Gothic" w:hAnsi="Century Gothic" w:cs="Calibri"/>
          <w:sz w:val="18"/>
          <w:szCs w:val="18"/>
        </w:rPr>
        <w:t>l</w:t>
      </w:r>
      <w:r w:rsidRPr="00024BB0">
        <w:rPr>
          <w:rFonts w:ascii="Century Gothic" w:hAnsi="Century Gothic" w:cs="Calibri"/>
          <w:sz w:val="18"/>
          <w:szCs w:val="18"/>
        </w:rPr>
        <w:t>nych</w:t>
      </w:r>
      <w:r>
        <w:rPr>
          <w:rFonts w:ascii="Century Gothic" w:hAnsi="Century Gothic" w:cs="Calibri"/>
          <w:sz w:val="18"/>
          <w:szCs w:val="18"/>
        </w:rPr>
        <w:t>, dla danego działania (w PLN),</w:t>
      </w:r>
      <w:r w:rsidRPr="00024BB0">
        <w:rPr>
          <w:rFonts w:ascii="Century Gothic" w:hAnsi="Century Gothic" w:cs="Calibri"/>
          <w:sz w:val="18"/>
          <w:szCs w:val="18"/>
        </w:rPr>
        <w:t xml:space="preserve"> w części odpowiadającej środkom </w:t>
      </w:r>
      <w:r>
        <w:rPr>
          <w:rFonts w:ascii="Century Gothic" w:hAnsi="Century Gothic" w:cs="Calibri"/>
          <w:sz w:val="18"/>
          <w:szCs w:val="18"/>
        </w:rPr>
        <w:t>unijnym</w:t>
      </w:r>
      <w:r w:rsidRPr="00024BB0">
        <w:rPr>
          <w:rFonts w:ascii="Century Gothic" w:hAnsi="Century Gothic" w:cs="Calibri"/>
          <w:sz w:val="18"/>
          <w:szCs w:val="18"/>
        </w:rPr>
        <w:t xml:space="preserve">, skumulowanych od początku okresu programowania, </w:t>
      </w:r>
      <w:r>
        <w:rPr>
          <w:rFonts w:ascii="Century Gothic" w:hAnsi="Century Gothic" w:cs="Calibri"/>
          <w:sz w:val="18"/>
          <w:szCs w:val="18"/>
        </w:rPr>
        <w:t xml:space="preserve">wykazanych we wnioskach o płatność do </w:t>
      </w:r>
      <w:r w:rsidRPr="00024BB0">
        <w:rPr>
          <w:rFonts w:ascii="Century Gothic" w:hAnsi="Century Gothic" w:cs="Calibri"/>
          <w:sz w:val="18"/>
          <w:szCs w:val="18"/>
        </w:rPr>
        <w:t>Komisji Europejskiej;</w:t>
      </w:r>
    </w:p>
    <w:p w14:paraId="3DE3F88B" w14:textId="77777777" w:rsidR="000D40A2" w:rsidRPr="00024BB0" w:rsidRDefault="000D40A2" w:rsidP="000D40A2">
      <w:pPr>
        <w:tabs>
          <w:tab w:val="left" w:pos="8460"/>
        </w:tabs>
        <w:spacing w:after="120" w:line="276" w:lineRule="auto"/>
        <w:ind w:left="1440"/>
        <w:jc w:val="both"/>
        <w:rPr>
          <w:rFonts w:ascii="Century Gothic" w:hAnsi="Century Gothic" w:cs="Calibri"/>
          <w:sz w:val="18"/>
          <w:szCs w:val="18"/>
        </w:rPr>
      </w:pPr>
      <w:r w:rsidRPr="00024BB0">
        <w:rPr>
          <w:rFonts w:ascii="Century Gothic" w:hAnsi="Century Gothic" w:cs="Calibri"/>
          <w:b/>
          <w:sz w:val="18"/>
          <w:szCs w:val="18"/>
        </w:rPr>
        <w:t>PO</w:t>
      </w:r>
      <w:r w:rsidRPr="00024BB0">
        <w:rPr>
          <w:rFonts w:ascii="Century Gothic" w:hAnsi="Century Gothic" w:cs="Calibri"/>
          <w:b/>
          <w:sz w:val="18"/>
          <w:szCs w:val="18"/>
          <w:vertAlign w:val="subscript"/>
        </w:rPr>
        <w:t>EUR</w:t>
      </w:r>
      <w:r w:rsidRPr="00024BB0">
        <w:rPr>
          <w:rFonts w:ascii="Century Gothic" w:hAnsi="Century Gothic" w:cs="Calibri"/>
          <w:sz w:val="18"/>
          <w:szCs w:val="18"/>
        </w:rPr>
        <w:t xml:space="preserve"> – wartość</w:t>
      </w:r>
      <w:r>
        <w:rPr>
          <w:rFonts w:ascii="Century Gothic" w:hAnsi="Century Gothic" w:cs="Calibri"/>
          <w:sz w:val="18"/>
          <w:szCs w:val="18"/>
        </w:rPr>
        <w:t xml:space="preserve"> (w EUR)</w:t>
      </w:r>
      <w:r w:rsidRPr="00024BB0">
        <w:rPr>
          <w:rFonts w:ascii="Century Gothic" w:hAnsi="Century Gothic" w:cs="Calibri"/>
          <w:sz w:val="18"/>
          <w:szCs w:val="18"/>
        </w:rPr>
        <w:t xml:space="preserve"> alokacji środków </w:t>
      </w:r>
      <w:r>
        <w:rPr>
          <w:rFonts w:ascii="Century Gothic" w:hAnsi="Century Gothic" w:cs="Calibri"/>
          <w:sz w:val="18"/>
          <w:szCs w:val="18"/>
        </w:rPr>
        <w:t xml:space="preserve">unijnych </w:t>
      </w:r>
      <w:r w:rsidRPr="00024BB0">
        <w:rPr>
          <w:rFonts w:ascii="Century Gothic" w:hAnsi="Century Gothic" w:cs="Calibri"/>
          <w:sz w:val="18"/>
          <w:szCs w:val="18"/>
        </w:rPr>
        <w:t xml:space="preserve">dla danego działania, określona </w:t>
      </w:r>
      <w:r>
        <w:rPr>
          <w:rFonts w:ascii="Century Gothic" w:hAnsi="Century Gothic" w:cs="Calibri"/>
          <w:sz w:val="18"/>
          <w:szCs w:val="18"/>
        </w:rPr>
        <w:br/>
      </w:r>
      <w:r w:rsidRPr="00024BB0">
        <w:rPr>
          <w:rFonts w:ascii="Century Gothic" w:hAnsi="Century Gothic" w:cs="Calibri"/>
          <w:sz w:val="18"/>
          <w:szCs w:val="18"/>
        </w:rPr>
        <w:t xml:space="preserve">w dokumentach programowych dla lat 2021-2027 (aktualizowana wraz ze zmianami </w:t>
      </w:r>
      <w:r>
        <w:rPr>
          <w:rFonts w:ascii="Century Gothic" w:hAnsi="Century Gothic" w:cs="Calibri"/>
          <w:sz w:val="18"/>
          <w:szCs w:val="18"/>
        </w:rPr>
        <w:br/>
      </w:r>
      <w:r w:rsidRPr="00024BB0">
        <w:rPr>
          <w:rFonts w:ascii="Century Gothic" w:hAnsi="Century Gothic" w:cs="Calibri"/>
          <w:sz w:val="18"/>
          <w:szCs w:val="18"/>
        </w:rPr>
        <w:t>w szczegółowy</w:t>
      </w:r>
      <w:r>
        <w:rPr>
          <w:rFonts w:ascii="Century Gothic" w:hAnsi="Century Gothic" w:cs="Calibri"/>
          <w:sz w:val="18"/>
          <w:szCs w:val="18"/>
        </w:rPr>
        <w:t>m</w:t>
      </w:r>
      <w:r w:rsidRPr="00024BB0">
        <w:rPr>
          <w:rFonts w:ascii="Century Gothic" w:hAnsi="Century Gothic" w:cs="Calibri"/>
          <w:sz w:val="18"/>
          <w:szCs w:val="18"/>
        </w:rPr>
        <w:t xml:space="preserve"> opis</w:t>
      </w:r>
      <w:r>
        <w:rPr>
          <w:rFonts w:ascii="Century Gothic" w:hAnsi="Century Gothic" w:cs="Calibri"/>
          <w:sz w:val="18"/>
          <w:szCs w:val="18"/>
        </w:rPr>
        <w:t>ie</w:t>
      </w:r>
      <w:r w:rsidRPr="00024BB0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>priorytetów</w:t>
      </w:r>
      <w:r w:rsidRPr="00024BB0">
        <w:rPr>
          <w:rFonts w:ascii="Century Gothic" w:hAnsi="Century Gothic" w:cs="Calibri"/>
          <w:sz w:val="18"/>
          <w:szCs w:val="18"/>
        </w:rPr>
        <w:t>);</w:t>
      </w:r>
    </w:p>
    <w:p w14:paraId="6DC2C309" w14:textId="77777777" w:rsidR="000D40A2" w:rsidRPr="00024BB0" w:rsidRDefault="000D40A2" w:rsidP="000D40A2">
      <w:pPr>
        <w:spacing w:after="120" w:line="276" w:lineRule="auto"/>
        <w:ind w:left="1440"/>
        <w:jc w:val="both"/>
        <w:rPr>
          <w:rFonts w:ascii="Century Gothic" w:hAnsi="Century Gothic" w:cs="Calibri"/>
          <w:sz w:val="18"/>
          <w:szCs w:val="18"/>
        </w:rPr>
      </w:pPr>
      <w:r w:rsidRPr="00024BB0">
        <w:rPr>
          <w:rFonts w:ascii="Century Gothic" w:hAnsi="Century Gothic" w:cs="Calibri"/>
          <w:b/>
          <w:sz w:val="18"/>
          <w:szCs w:val="18"/>
        </w:rPr>
        <w:t>P</w:t>
      </w:r>
      <w:r w:rsidRPr="00024BB0">
        <w:rPr>
          <w:rFonts w:ascii="Century Gothic" w:hAnsi="Century Gothic" w:cs="Calibri"/>
          <w:b/>
          <w:sz w:val="18"/>
          <w:szCs w:val="18"/>
          <w:vertAlign w:val="subscript"/>
        </w:rPr>
        <w:t>EUR</w:t>
      </w:r>
      <w:r w:rsidRPr="00024BB0">
        <w:rPr>
          <w:rFonts w:ascii="Century Gothic" w:hAnsi="Century Gothic" w:cs="Calibri"/>
          <w:sz w:val="18"/>
          <w:szCs w:val="18"/>
        </w:rPr>
        <w:t xml:space="preserve"> – wartość wydatków kwalifikowa</w:t>
      </w:r>
      <w:r>
        <w:rPr>
          <w:rFonts w:ascii="Century Gothic" w:hAnsi="Century Gothic" w:cs="Calibri"/>
          <w:sz w:val="18"/>
          <w:szCs w:val="18"/>
        </w:rPr>
        <w:t>l</w:t>
      </w:r>
      <w:r w:rsidRPr="00024BB0">
        <w:rPr>
          <w:rFonts w:ascii="Century Gothic" w:hAnsi="Century Gothic" w:cs="Calibri"/>
          <w:sz w:val="18"/>
          <w:szCs w:val="18"/>
        </w:rPr>
        <w:t>nych</w:t>
      </w:r>
      <w:r>
        <w:rPr>
          <w:rFonts w:ascii="Century Gothic" w:hAnsi="Century Gothic" w:cs="Calibri"/>
          <w:sz w:val="18"/>
          <w:szCs w:val="18"/>
        </w:rPr>
        <w:t>, dla danego działania (w EUR),</w:t>
      </w:r>
      <w:r w:rsidRPr="00024BB0">
        <w:rPr>
          <w:rFonts w:ascii="Century Gothic" w:hAnsi="Century Gothic" w:cs="Calibri"/>
          <w:sz w:val="18"/>
          <w:szCs w:val="18"/>
        </w:rPr>
        <w:t xml:space="preserve"> w części odpowiadającej środkom </w:t>
      </w:r>
      <w:r>
        <w:rPr>
          <w:rFonts w:ascii="Century Gothic" w:hAnsi="Century Gothic" w:cs="Calibri"/>
          <w:sz w:val="18"/>
          <w:szCs w:val="18"/>
        </w:rPr>
        <w:t>unijnym</w:t>
      </w:r>
      <w:r w:rsidRPr="00024BB0">
        <w:rPr>
          <w:rFonts w:ascii="Century Gothic" w:hAnsi="Century Gothic" w:cs="Calibri"/>
          <w:sz w:val="18"/>
          <w:szCs w:val="18"/>
        </w:rPr>
        <w:t xml:space="preserve">, skumulowanych od początku okresu programowania, </w:t>
      </w:r>
      <w:r>
        <w:rPr>
          <w:rFonts w:ascii="Century Gothic" w:hAnsi="Century Gothic" w:cs="Calibri"/>
          <w:sz w:val="18"/>
          <w:szCs w:val="18"/>
        </w:rPr>
        <w:t>wykazanych we wnioskach o płatność do Komisji Europejskiej;</w:t>
      </w:r>
    </w:p>
    <w:p w14:paraId="63C1289A" w14:textId="77777777" w:rsidR="000D40A2" w:rsidRDefault="000D40A2" w:rsidP="000D40A2">
      <w:pPr>
        <w:spacing w:after="120" w:line="276" w:lineRule="auto"/>
        <w:ind w:left="1440"/>
        <w:jc w:val="both"/>
        <w:rPr>
          <w:rFonts w:ascii="Century Gothic" w:hAnsi="Century Gothic" w:cs="Calibri"/>
          <w:sz w:val="18"/>
          <w:szCs w:val="18"/>
        </w:rPr>
      </w:pPr>
      <w:r w:rsidRPr="00024BB0">
        <w:rPr>
          <w:rFonts w:ascii="Century Gothic" w:hAnsi="Century Gothic" w:cs="Calibri"/>
          <w:b/>
          <w:sz w:val="18"/>
          <w:szCs w:val="18"/>
        </w:rPr>
        <w:t>K</w:t>
      </w:r>
      <w:r w:rsidRPr="00024BB0">
        <w:rPr>
          <w:rFonts w:ascii="Century Gothic" w:hAnsi="Century Gothic" w:cs="Calibri"/>
          <w:b/>
          <w:sz w:val="18"/>
          <w:szCs w:val="18"/>
          <w:vertAlign w:val="subscript"/>
        </w:rPr>
        <w:t>EBC</w:t>
      </w:r>
      <w:r w:rsidRPr="00024BB0">
        <w:rPr>
          <w:rFonts w:ascii="Century Gothic" w:hAnsi="Century Gothic" w:cs="Calibri"/>
          <w:sz w:val="18"/>
          <w:szCs w:val="18"/>
          <w:vertAlign w:val="subscript"/>
        </w:rPr>
        <w:t xml:space="preserve"> </w:t>
      </w:r>
      <w:r w:rsidRPr="00024BB0">
        <w:rPr>
          <w:rFonts w:ascii="Century Gothic" w:hAnsi="Century Gothic" w:cs="Calibri"/>
          <w:sz w:val="18"/>
          <w:szCs w:val="18"/>
        </w:rPr>
        <w:t xml:space="preserve">– kurs Europejskiego Banku Centralnego z przedostatniego dnia kwotowania Komisji Europejskiej w miesiącu poprzedzającym miesiąc, w którym wylicza </w:t>
      </w:r>
      <w:r>
        <w:rPr>
          <w:rFonts w:ascii="Century Gothic" w:hAnsi="Century Gothic" w:cs="Calibri"/>
          <w:sz w:val="18"/>
          <w:szCs w:val="18"/>
        </w:rPr>
        <w:t xml:space="preserve">się </w:t>
      </w:r>
      <w:r w:rsidRPr="00024BB0">
        <w:rPr>
          <w:rFonts w:ascii="Century Gothic" w:hAnsi="Century Gothic" w:cs="Calibri"/>
          <w:sz w:val="18"/>
          <w:szCs w:val="18"/>
        </w:rPr>
        <w:t>wartości alokacji</w:t>
      </w:r>
      <w:r>
        <w:rPr>
          <w:rFonts w:ascii="Century Gothic" w:hAnsi="Century Gothic" w:cs="Calibri"/>
          <w:sz w:val="18"/>
          <w:szCs w:val="18"/>
        </w:rPr>
        <w:t>.</w:t>
      </w:r>
    </w:p>
    <w:p w14:paraId="043F915D" w14:textId="77777777" w:rsidR="000D40A2" w:rsidRDefault="000D40A2" w:rsidP="000D40A2">
      <w:pPr>
        <w:spacing w:after="120" w:line="276" w:lineRule="auto"/>
        <w:ind w:left="1440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Gdy kurs ten przekracza </w:t>
      </w:r>
      <w:r w:rsidRPr="00024BB0">
        <w:rPr>
          <w:rFonts w:ascii="Century Gothic" w:hAnsi="Century Gothic" w:cs="Calibri"/>
          <w:sz w:val="18"/>
          <w:szCs w:val="18"/>
        </w:rPr>
        <w:t xml:space="preserve">103% i nie jest jednocześnie wyższy niż 110% wartości kursu wyznaczonego jako średnia arytmetyczna kursów księgowych EBC z ostatnich </w:t>
      </w:r>
      <w:r>
        <w:rPr>
          <w:rFonts w:ascii="Century Gothic" w:hAnsi="Century Gothic" w:cs="Calibri"/>
          <w:sz w:val="18"/>
          <w:szCs w:val="18"/>
        </w:rPr>
        <w:br/>
      </w:r>
      <w:r w:rsidRPr="00024BB0">
        <w:rPr>
          <w:rFonts w:ascii="Century Gothic" w:hAnsi="Century Gothic" w:cs="Calibri"/>
          <w:sz w:val="18"/>
          <w:szCs w:val="18"/>
        </w:rPr>
        <w:t>12 miesięcy (począwszy od aktualnego kursu), stosujemy średnią arytmetyczną z kursu bieżącego i średniej z 12 kursów księgowych.</w:t>
      </w:r>
    </w:p>
    <w:p w14:paraId="15B8421A" w14:textId="77777777" w:rsidR="000D40A2" w:rsidRDefault="000D40A2" w:rsidP="000D40A2">
      <w:pPr>
        <w:spacing w:after="120" w:line="276" w:lineRule="auto"/>
        <w:ind w:left="1440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Gdy kurs księgowy EBC w danym miesiącu przekroczy 110% wartości kursu wyznaczonego jako średnia arytmetyczna kursów księgowych EBC z ostatnich 12 miesięcy (począwszy od aktualnego kursu), stosujemy kurs będący średnią z 12 ostatnich kursów księgowych.</w:t>
      </w:r>
    </w:p>
    <w:p w14:paraId="58CCA474" w14:textId="77777777" w:rsidR="000D40A2" w:rsidRDefault="000D40A2" w:rsidP="000D40A2">
      <w:pPr>
        <w:spacing w:after="120" w:line="276" w:lineRule="auto"/>
        <w:ind w:left="1440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lastRenderedPageBreak/>
        <w:t>Dla działań rozliczanych w formie finansowania niepowiązanego z kosztami, o których mowa w art. 95 rozporządzenia ogólnego, w okresie realizacji tego działania zastosowanie ma jeden stały kurs wynikający z zatwierdzonych przez Komisję Europejską kamieni milowych określonych w EUR dla danej operacji realizowanej w formie finansowania niepowiązanego z kosztami.</w:t>
      </w:r>
    </w:p>
    <w:p w14:paraId="3DCDDB25" w14:textId="77777777" w:rsidR="000D40A2" w:rsidRDefault="000D40A2" w:rsidP="000D40A2">
      <w:pPr>
        <w:tabs>
          <w:tab w:val="left" w:pos="851"/>
        </w:tabs>
        <w:spacing w:after="240" w:line="276" w:lineRule="auto"/>
        <w:ind w:left="851"/>
        <w:jc w:val="both"/>
        <w:rPr>
          <w:rFonts w:ascii="Century Gothic" w:hAnsi="Century Gothic" w:cs="Calibri"/>
          <w:b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Punktem wyjścia do wyliczenia wartości </w:t>
      </w:r>
      <w:r w:rsidRPr="00024BB0">
        <w:rPr>
          <w:rFonts w:ascii="Century Gothic" w:hAnsi="Century Gothic" w:cs="Calibri"/>
          <w:b/>
          <w:sz w:val="18"/>
          <w:szCs w:val="18"/>
        </w:rPr>
        <w:t>P</w:t>
      </w:r>
      <w:r w:rsidRPr="00024BB0">
        <w:rPr>
          <w:rFonts w:ascii="Century Gothic" w:hAnsi="Century Gothic" w:cs="Calibri"/>
          <w:b/>
          <w:sz w:val="18"/>
          <w:szCs w:val="18"/>
          <w:vertAlign w:val="subscript"/>
        </w:rPr>
        <w:t>EUR</w:t>
      </w:r>
      <w:r>
        <w:rPr>
          <w:rFonts w:ascii="Century Gothic" w:hAnsi="Century Gothic" w:cs="Calibri"/>
          <w:b/>
          <w:sz w:val="18"/>
          <w:szCs w:val="18"/>
          <w:vertAlign w:val="subscript"/>
        </w:rPr>
        <w:t xml:space="preserve"> </w:t>
      </w:r>
      <w:r>
        <w:rPr>
          <w:rFonts w:ascii="Century Gothic" w:hAnsi="Century Gothic" w:cs="Calibri"/>
          <w:b/>
          <w:sz w:val="18"/>
          <w:szCs w:val="18"/>
        </w:rPr>
        <w:t xml:space="preserve">i </w:t>
      </w:r>
      <w:r w:rsidRPr="00024BB0">
        <w:rPr>
          <w:rFonts w:ascii="Century Gothic" w:hAnsi="Century Gothic" w:cs="Calibri"/>
          <w:b/>
          <w:sz w:val="18"/>
          <w:szCs w:val="18"/>
        </w:rPr>
        <w:t>P</w:t>
      </w:r>
      <w:r>
        <w:rPr>
          <w:rFonts w:ascii="Century Gothic" w:hAnsi="Century Gothic" w:cs="Calibri"/>
          <w:b/>
          <w:sz w:val="18"/>
          <w:szCs w:val="18"/>
          <w:vertAlign w:val="subscript"/>
        </w:rPr>
        <w:t>PLN</w:t>
      </w:r>
      <w:r>
        <w:rPr>
          <w:rFonts w:ascii="Century Gothic" w:hAnsi="Century Gothic" w:cs="Calibri"/>
          <w:bCs/>
          <w:sz w:val="18"/>
          <w:szCs w:val="18"/>
        </w:rPr>
        <w:t xml:space="preserve"> powinny być wydatki ujęte we wnioskach </w:t>
      </w:r>
      <w:r>
        <w:rPr>
          <w:rFonts w:ascii="Century Gothic" w:hAnsi="Century Gothic" w:cs="Calibri"/>
          <w:bCs/>
          <w:sz w:val="18"/>
          <w:szCs w:val="18"/>
        </w:rPr>
        <w:br/>
        <w:t xml:space="preserve">o płatność skierowanych przez IZ do Komisji Europejskiej w ramach poszczególnych lat obrachunkowych. Gdy dla danego roku obrachunkowego przesłano już do KE roczne zestawienie wydatków opiewające na inne wartości niż zawarte we wnioskach o płatność dotyczących danego roku obrachunkowego, należy odpowiednio skorygować wartości </w:t>
      </w:r>
      <w:r>
        <w:rPr>
          <w:rFonts w:ascii="Century Gothic" w:hAnsi="Century Gothic" w:cs="Calibri"/>
          <w:bCs/>
          <w:sz w:val="18"/>
          <w:szCs w:val="18"/>
        </w:rPr>
        <w:br/>
      </w:r>
      <w:r w:rsidRPr="00024BB0">
        <w:rPr>
          <w:rFonts w:ascii="Century Gothic" w:hAnsi="Century Gothic" w:cs="Calibri"/>
          <w:b/>
          <w:sz w:val="18"/>
          <w:szCs w:val="18"/>
        </w:rPr>
        <w:t>P</w:t>
      </w:r>
      <w:r w:rsidRPr="00024BB0">
        <w:rPr>
          <w:rFonts w:ascii="Century Gothic" w:hAnsi="Century Gothic" w:cs="Calibri"/>
          <w:b/>
          <w:sz w:val="18"/>
          <w:szCs w:val="18"/>
          <w:vertAlign w:val="subscript"/>
        </w:rPr>
        <w:t>EUR</w:t>
      </w:r>
      <w:r>
        <w:rPr>
          <w:rFonts w:ascii="Century Gothic" w:hAnsi="Century Gothic" w:cs="Calibri"/>
          <w:b/>
          <w:sz w:val="18"/>
          <w:szCs w:val="18"/>
          <w:vertAlign w:val="subscript"/>
        </w:rPr>
        <w:t xml:space="preserve"> </w:t>
      </w:r>
      <w:r>
        <w:rPr>
          <w:rFonts w:ascii="Century Gothic" w:hAnsi="Century Gothic" w:cs="Calibri"/>
          <w:b/>
          <w:sz w:val="18"/>
          <w:szCs w:val="18"/>
        </w:rPr>
        <w:t xml:space="preserve">i </w:t>
      </w:r>
      <w:r w:rsidRPr="00024BB0">
        <w:rPr>
          <w:rFonts w:ascii="Century Gothic" w:hAnsi="Century Gothic" w:cs="Calibri"/>
          <w:b/>
          <w:sz w:val="18"/>
          <w:szCs w:val="18"/>
        </w:rPr>
        <w:t>P</w:t>
      </w:r>
      <w:r>
        <w:rPr>
          <w:rFonts w:ascii="Century Gothic" w:hAnsi="Century Gothic" w:cs="Calibri"/>
          <w:b/>
          <w:sz w:val="18"/>
          <w:szCs w:val="18"/>
          <w:vertAlign w:val="subscript"/>
        </w:rPr>
        <w:t>PLN</w:t>
      </w:r>
      <w:r>
        <w:rPr>
          <w:rFonts w:ascii="Century Gothic" w:hAnsi="Century Gothic" w:cs="Calibri"/>
          <w:b/>
          <w:sz w:val="18"/>
          <w:szCs w:val="18"/>
        </w:rPr>
        <w:t>.</w:t>
      </w:r>
    </w:p>
    <w:p w14:paraId="1D5CEE97" w14:textId="77777777" w:rsidR="000D40A2" w:rsidRDefault="000D40A2" w:rsidP="000D40A2">
      <w:pPr>
        <w:spacing w:before="240" w:after="120"/>
        <w:ind w:left="839" w:hanging="482"/>
        <w:jc w:val="both"/>
        <w:rPr>
          <w:rFonts w:ascii="Century Gothic" w:hAnsi="Century Gothic" w:cs="Calibri"/>
          <w:sz w:val="18"/>
          <w:szCs w:val="18"/>
          <w:vertAlign w:val="subscript"/>
        </w:rPr>
      </w:pPr>
      <w:r w:rsidRPr="00024BB0">
        <w:rPr>
          <w:rFonts w:ascii="Century Gothic" w:hAnsi="Century Gothic" w:cs="Calibri"/>
          <w:b/>
          <w:sz w:val="18"/>
          <w:szCs w:val="18"/>
        </w:rPr>
        <w:t>U</w:t>
      </w:r>
      <w:r w:rsidRPr="00024BB0">
        <w:rPr>
          <w:rFonts w:ascii="Century Gothic" w:hAnsi="Century Gothic" w:cs="Calibri"/>
          <w:b/>
          <w:sz w:val="18"/>
          <w:szCs w:val="18"/>
          <w:vertAlign w:val="subscript"/>
        </w:rPr>
        <w:t>PLN</w:t>
      </w:r>
      <w:r>
        <w:rPr>
          <w:rFonts w:ascii="Century Gothic" w:hAnsi="Century Gothic" w:cs="Calibri"/>
          <w:b/>
          <w:sz w:val="18"/>
          <w:szCs w:val="18"/>
        </w:rPr>
        <w:t>:</w:t>
      </w:r>
    </w:p>
    <w:p w14:paraId="1139C9A9" w14:textId="77777777" w:rsidR="000D40A2" w:rsidRDefault="000D40A2" w:rsidP="000D40A2">
      <w:pPr>
        <w:pStyle w:val="Akapitzlist"/>
        <w:numPr>
          <w:ilvl w:val="0"/>
          <w:numId w:val="13"/>
        </w:numPr>
        <w:spacing w:before="120" w:after="120" w:line="276" w:lineRule="auto"/>
        <w:ind w:left="714" w:hanging="357"/>
        <w:contextualSpacing w:val="0"/>
        <w:jc w:val="both"/>
        <w:rPr>
          <w:rFonts w:ascii="Century Gothic" w:hAnsi="Century Gothic" w:cs="Calibri"/>
          <w:sz w:val="18"/>
          <w:szCs w:val="18"/>
        </w:rPr>
      </w:pPr>
      <w:r w:rsidRPr="009E0863">
        <w:rPr>
          <w:rFonts w:ascii="Century Gothic" w:hAnsi="Century Gothic" w:cs="Calibri"/>
          <w:sz w:val="18"/>
          <w:szCs w:val="18"/>
        </w:rPr>
        <w:t xml:space="preserve">wartość środków </w:t>
      </w:r>
      <w:r>
        <w:rPr>
          <w:rFonts w:ascii="Century Gothic" w:hAnsi="Century Gothic" w:cs="Calibri"/>
          <w:sz w:val="18"/>
          <w:szCs w:val="18"/>
        </w:rPr>
        <w:t>unijnych (w PLN)</w:t>
      </w:r>
      <w:r w:rsidRPr="009E0863">
        <w:rPr>
          <w:rFonts w:ascii="Century Gothic" w:hAnsi="Century Gothic" w:cs="Calibri"/>
          <w:sz w:val="18"/>
          <w:szCs w:val="18"/>
        </w:rPr>
        <w:t xml:space="preserve"> zakontraktowanych w ramach umów o dofinansowanie</w:t>
      </w:r>
      <w:r>
        <w:rPr>
          <w:rFonts w:ascii="Century Gothic" w:hAnsi="Century Gothic" w:cs="Calibri"/>
          <w:sz w:val="18"/>
          <w:szCs w:val="18"/>
        </w:rPr>
        <w:t xml:space="preserve"> projektu</w:t>
      </w:r>
      <w:r w:rsidRPr="009E0863">
        <w:rPr>
          <w:rFonts w:ascii="Century Gothic" w:hAnsi="Century Gothic" w:cs="Calibri"/>
          <w:sz w:val="18"/>
          <w:szCs w:val="18"/>
        </w:rPr>
        <w:t>/decyzji o dofinansowaniu</w:t>
      </w:r>
      <w:r>
        <w:rPr>
          <w:rFonts w:ascii="Century Gothic" w:hAnsi="Century Gothic" w:cs="Calibri"/>
          <w:sz w:val="18"/>
          <w:szCs w:val="18"/>
        </w:rPr>
        <w:t xml:space="preserve"> projektu. W przypadku aneksowania umów/decyzji wartość powinna uwzględniać najbardziej aktualną kwotę wynikającą z dokonanych dotychczas zmian przyznanego dofinansowania,</w:t>
      </w:r>
    </w:p>
    <w:p w14:paraId="70FA11B6" w14:textId="77777777" w:rsidR="000D40A2" w:rsidRDefault="000D40A2" w:rsidP="000D40A2">
      <w:pPr>
        <w:pStyle w:val="Akapitzlist"/>
        <w:numPr>
          <w:ilvl w:val="0"/>
          <w:numId w:val="13"/>
        </w:numPr>
        <w:spacing w:before="120" w:after="120" w:line="276" w:lineRule="auto"/>
        <w:ind w:left="714" w:hanging="357"/>
        <w:contextualSpacing w:val="0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w odniesieniu do projektów/umów o dofinansowanie, w przypadku których dokonano płatności końcowej oraz umów rozwiązanych/anulowanych, należy uwzględnić rzeczywistą wartość płatności przekazanych na rzecz danego beneficjenta. Kwoty pozostające do odzyskania nie mogą zmniejszać wartości U</w:t>
      </w:r>
      <w:r>
        <w:rPr>
          <w:rFonts w:ascii="Century Gothic" w:hAnsi="Century Gothic" w:cs="Calibri"/>
          <w:sz w:val="18"/>
          <w:szCs w:val="18"/>
          <w:vertAlign w:val="subscript"/>
        </w:rPr>
        <w:t>PLN</w:t>
      </w:r>
      <w:r>
        <w:rPr>
          <w:rFonts w:ascii="Century Gothic" w:hAnsi="Century Gothic" w:cs="Calibri"/>
          <w:sz w:val="18"/>
          <w:szCs w:val="18"/>
        </w:rPr>
        <w:t xml:space="preserve"> do momentu ich odzyskania.</w:t>
      </w:r>
    </w:p>
    <w:p w14:paraId="44867199" w14:textId="77777777" w:rsidR="000D40A2" w:rsidRDefault="000D40A2" w:rsidP="000D40A2">
      <w:pPr>
        <w:pStyle w:val="Akapitzlist"/>
        <w:spacing w:before="120" w:after="120"/>
        <w:ind w:left="714"/>
        <w:contextualSpacing w:val="0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W odniesieniu do działań, w których udzielona została zgoda na nadkontraktację pod przyszłe oszczędności (przyszłe na moment wnioskowania o nadkontraktację), w wartości U</w:t>
      </w:r>
      <w:r>
        <w:rPr>
          <w:rFonts w:ascii="Century Gothic" w:hAnsi="Century Gothic" w:cs="Calibri"/>
          <w:sz w:val="18"/>
          <w:szCs w:val="18"/>
          <w:vertAlign w:val="subscript"/>
        </w:rPr>
        <w:t>PLN</w:t>
      </w:r>
      <w:r>
        <w:rPr>
          <w:rFonts w:ascii="Century Gothic" w:hAnsi="Century Gothic" w:cs="Calibri"/>
          <w:sz w:val="18"/>
          <w:szCs w:val="18"/>
        </w:rPr>
        <w:t xml:space="preserve"> należy uwzględniać pierwotną wartość umowy/decyzji, z wyjątkiem sytuacji, gdy w wyniku aneksu wartość pierwotnej umowy/decyzji wzrosła.</w:t>
      </w:r>
    </w:p>
    <w:p w14:paraId="74C0C56F" w14:textId="77777777" w:rsidR="000D40A2" w:rsidRPr="00451B97" w:rsidRDefault="000D40A2" w:rsidP="000D40A2">
      <w:pPr>
        <w:spacing w:before="240" w:after="240" w:line="276" w:lineRule="auto"/>
        <w:ind w:left="709" w:hanging="352"/>
        <w:jc w:val="both"/>
        <w:rPr>
          <w:rFonts w:ascii="Century Gothic" w:hAnsi="Century Gothic" w:cs="Calibri"/>
          <w:sz w:val="18"/>
          <w:szCs w:val="18"/>
        </w:rPr>
      </w:pPr>
      <w:r w:rsidRPr="00024BB0">
        <w:rPr>
          <w:rFonts w:ascii="Century Gothic" w:hAnsi="Century Gothic" w:cs="Calibri"/>
          <w:b/>
          <w:sz w:val="18"/>
          <w:szCs w:val="18"/>
        </w:rPr>
        <w:t>KS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024BB0">
        <w:rPr>
          <w:rFonts w:ascii="Century Gothic" w:hAnsi="Century Gothic" w:cs="Calibri"/>
          <w:sz w:val="18"/>
          <w:szCs w:val="18"/>
        </w:rPr>
        <w:t>–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024BB0">
        <w:rPr>
          <w:rFonts w:ascii="Century Gothic" w:hAnsi="Century Gothic" w:cs="Calibri"/>
          <w:sz w:val="18"/>
          <w:szCs w:val="18"/>
        </w:rPr>
        <w:t>wartość dofinansowania unijnego</w:t>
      </w:r>
      <w:r>
        <w:rPr>
          <w:rFonts w:ascii="Century Gothic" w:hAnsi="Century Gothic" w:cs="Calibri"/>
          <w:sz w:val="18"/>
          <w:szCs w:val="18"/>
        </w:rPr>
        <w:t xml:space="preserve"> (w PLN)</w:t>
      </w:r>
      <w:r w:rsidRPr="00024BB0">
        <w:rPr>
          <w:rFonts w:ascii="Century Gothic" w:hAnsi="Century Gothic" w:cs="Calibri"/>
          <w:sz w:val="18"/>
          <w:szCs w:val="18"/>
        </w:rPr>
        <w:t xml:space="preserve"> ujętego w korektach systemowych uwzględnionych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024BB0">
        <w:rPr>
          <w:rFonts w:ascii="Century Gothic" w:hAnsi="Century Gothic" w:cs="Calibri"/>
          <w:sz w:val="18"/>
          <w:szCs w:val="18"/>
        </w:rPr>
        <w:t xml:space="preserve">we wnioskach o płatność skierowanych przez Instytucję Zarządzającą do Komisji Europejskiej </w:t>
      </w:r>
      <w:r>
        <w:rPr>
          <w:rFonts w:ascii="Century Gothic" w:hAnsi="Century Gothic" w:cs="Calibri"/>
          <w:sz w:val="18"/>
          <w:szCs w:val="18"/>
        </w:rPr>
        <w:br/>
      </w:r>
      <w:r w:rsidRPr="00024BB0">
        <w:rPr>
          <w:rFonts w:ascii="Century Gothic" w:hAnsi="Century Gothic" w:cs="Calibri"/>
          <w:sz w:val="18"/>
          <w:szCs w:val="18"/>
        </w:rPr>
        <w:t xml:space="preserve">w ramach danego działania. W przypadku programów regionalnych w wartości KS uwzględnia się wyłącznie korekty </w:t>
      </w:r>
      <w:r>
        <w:rPr>
          <w:rFonts w:ascii="Century Gothic" w:hAnsi="Century Gothic" w:cs="Calibri"/>
          <w:sz w:val="18"/>
          <w:szCs w:val="18"/>
        </w:rPr>
        <w:t xml:space="preserve">systemowe </w:t>
      </w:r>
      <w:r w:rsidRPr="00024BB0">
        <w:rPr>
          <w:rFonts w:ascii="Century Gothic" w:hAnsi="Century Gothic" w:cs="Calibri"/>
          <w:sz w:val="18"/>
          <w:szCs w:val="18"/>
        </w:rPr>
        <w:t xml:space="preserve">będące następstwem działania lub zaniechania organów </w:t>
      </w:r>
      <w:r>
        <w:rPr>
          <w:rFonts w:ascii="Century Gothic" w:hAnsi="Century Gothic" w:cs="Calibri"/>
          <w:sz w:val="18"/>
          <w:szCs w:val="18"/>
        </w:rPr>
        <w:t xml:space="preserve">administracji rządowej lub instytucji działających z ich upoważnienia. W KS nie </w:t>
      </w:r>
      <w:r w:rsidRPr="00024BB0">
        <w:rPr>
          <w:rFonts w:ascii="Century Gothic" w:hAnsi="Century Gothic" w:cs="Calibri"/>
          <w:sz w:val="18"/>
          <w:szCs w:val="18"/>
        </w:rPr>
        <w:t xml:space="preserve">uwzględnia się korekt </w:t>
      </w:r>
      <w:r>
        <w:rPr>
          <w:rFonts w:ascii="Century Gothic" w:hAnsi="Century Gothic" w:cs="Calibri"/>
          <w:sz w:val="18"/>
          <w:szCs w:val="18"/>
        </w:rPr>
        <w:t xml:space="preserve">systemowych </w:t>
      </w:r>
      <w:r w:rsidRPr="00024BB0">
        <w:rPr>
          <w:rFonts w:ascii="Century Gothic" w:hAnsi="Century Gothic" w:cs="Calibri"/>
          <w:sz w:val="18"/>
          <w:szCs w:val="18"/>
        </w:rPr>
        <w:t xml:space="preserve">wynikających z działań lub zaniechań instytucji systemu wdrażania programu </w:t>
      </w:r>
      <w:r>
        <w:rPr>
          <w:rFonts w:ascii="Century Gothic" w:hAnsi="Century Gothic" w:cs="Calibri"/>
          <w:sz w:val="18"/>
          <w:szCs w:val="18"/>
        </w:rPr>
        <w:t>(w tym</w:t>
      </w:r>
      <w:r w:rsidRPr="00024BB0">
        <w:rPr>
          <w:rFonts w:ascii="Century Gothic" w:hAnsi="Century Gothic" w:cs="Calibri"/>
          <w:sz w:val="18"/>
          <w:szCs w:val="18"/>
        </w:rPr>
        <w:t xml:space="preserve"> korekt uwzględnianych w rocznych zestawieniach wydatków, których celem jest obniżenie poziomu błędu rezydualnego</w:t>
      </w:r>
      <w:r>
        <w:rPr>
          <w:rFonts w:ascii="Century Gothic" w:hAnsi="Century Gothic" w:cs="Calibri"/>
          <w:sz w:val="18"/>
          <w:szCs w:val="18"/>
        </w:rPr>
        <w:t>)</w:t>
      </w:r>
      <w:r w:rsidRPr="00024BB0">
        <w:rPr>
          <w:rFonts w:ascii="Century Gothic" w:hAnsi="Century Gothic" w:cs="Calibri"/>
          <w:sz w:val="18"/>
          <w:szCs w:val="18"/>
        </w:rPr>
        <w:t>.</w:t>
      </w:r>
    </w:p>
    <w:p w14:paraId="22631EC6" w14:textId="77777777" w:rsidR="000D40A2" w:rsidRDefault="000D40A2" w:rsidP="000D40A2">
      <w:pPr>
        <w:pStyle w:val="Akapitzlist"/>
        <w:spacing w:before="240" w:after="120"/>
        <w:ind w:left="0"/>
        <w:contextualSpacing w:val="0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Powyższa metoda wyliczania wartości alokacji środków unijnych wyrażonych w PLN będzie monitorowana i stosowana przez Departament Instytucji Płatniczej w Ministerstwie Finansów </w:t>
      </w:r>
      <w:r>
        <w:rPr>
          <w:rFonts w:ascii="Century Gothic" w:hAnsi="Century Gothic" w:cs="Calibri"/>
          <w:sz w:val="18"/>
          <w:szCs w:val="18"/>
        </w:rPr>
        <w:br/>
        <w:t>na podstawie informacji przekazywanych przez poszczególne instytucje zarządzające. Dane dotyczące aktualnych na koniec poprzedniego miesiąca wartości wskazanych powyżej parametrów powinny być przesyłane do Instytucji Płatniczej do 4-ego dnia (a w przypadku dnia wolnego od pracy, do pierwszego dnia roboczego po 4-tym dniu miesiąca) następującego po miesiącu, dla którego wyliczana będzie wartość alokacji.</w:t>
      </w:r>
    </w:p>
    <w:p w14:paraId="4FA057B0" w14:textId="77777777" w:rsidR="000D40A2" w:rsidRDefault="000D40A2" w:rsidP="000D40A2">
      <w:pPr>
        <w:pStyle w:val="Akapitzlist"/>
        <w:spacing w:before="120" w:after="240"/>
        <w:ind w:left="0"/>
        <w:contextualSpacing w:val="0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Na podstawie powyższych danych Ministerstwo Finansów zobowiązuje się przekazywać do 5-ego dnia każdego miesiąca (a w przypadku dnia wolnego od pracy, do pierwszego dnia roboczego po 5-tym dniu miesiąca) zestawienia zawierające alokację oraz limity środków możliwych do zakontraktowania </w:t>
      </w:r>
      <w:r>
        <w:rPr>
          <w:rFonts w:ascii="Century Gothic" w:hAnsi="Century Gothic" w:cs="Calibri"/>
          <w:sz w:val="18"/>
          <w:szCs w:val="18"/>
        </w:rPr>
        <w:br/>
        <w:t>w okresie 6-ty dzień miesiąca „n” – 5-ty dzień miesiąca „n+1”. Powyższa informacja będzie przekazywana do Instytucji Zarządzających oraz IK UP. Jednocześnie instytucje odpowiadające za podpisywanie umów z beneficjentami, w celu określenia ostatecznego limitu, powinny skorygować przekazane limity o wartość środków zakontraktowanych lub zaoszczędzonych w okresie 1-szy – 5-ty miesiąca „n”.</w:t>
      </w:r>
    </w:p>
    <w:p w14:paraId="5550D8E6" w14:textId="6F25B723" w:rsidR="000D40A2" w:rsidRDefault="000D40A2" w:rsidP="000D40A2">
      <w:pPr>
        <w:pStyle w:val="Akapitzlist"/>
        <w:spacing w:before="240" w:after="120"/>
        <w:ind w:left="0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Dodatkowo Instytucje Zarządzające są zobowiązane do uzupełniania nowej zakładki w arkuszu kalkulacyjnym wyliczającym dostępną do zakontraktowania w danym miesiącu alokację obrazującą postęp w odzyskiwaniu środków o nazwie „Środki do odzyskania”.</w:t>
      </w:r>
    </w:p>
    <w:p w14:paraId="14EFA6D0" w14:textId="77777777" w:rsidR="000D40A2" w:rsidRDefault="000D40A2" w:rsidP="000D40A2">
      <w:pPr>
        <w:pStyle w:val="Akapitzlist"/>
        <w:spacing w:before="240" w:after="120"/>
        <w:ind w:left="0"/>
        <w:jc w:val="both"/>
        <w:rPr>
          <w:rFonts w:ascii="Century Gothic" w:hAnsi="Century Gothic" w:cs="Calibri"/>
          <w:sz w:val="18"/>
          <w:szCs w:val="18"/>
        </w:rPr>
      </w:pPr>
    </w:p>
    <w:p w14:paraId="5D8ADC8C" w14:textId="46D458E2" w:rsidR="00C10298" w:rsidRPr="00DD7CEA" w:rsidRDefault="000D40A2" w:rsidP="003F6DD1">
      <w:pPr>
        <w:pStyle w:val="Akapitzlist"/>
        <w:ind w:left="0"/>
        <w:rPr>
          <w:rFonts w:ascii="Century Gothic" w:eastAsia="Times New Roman" w:hAnsi="Century Gothic" w:cs="Calibri"/>
          <w:sz w:val="20"/>
          <w:szCs w:val="20"/>
        </w:rPr>
      </w:pPr>
      <w:r>
        <w:rPr>
          <w:rFonts w:ascii="Century Gothic" w:hAnsi="Century Gothic" w:cs="Calibri"/>
          <w:sz w:val="18"/>
          <w:szCs w:val="18"/>
        </w:rPr>
        <w:lastRenderedPageBreak/>
        <w:t>UWAGA! W tabeli należy uwzględniać tylko kwoty odpowiadające należności głównej (bez odsetek).</w:t>
      </w:r>
    </w:p>
    <w:sectPr w:rsidR="00C10298" w:rsidRPr="00DD7CEA" w:rsidSect="00DD7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CA73F" w14:textId="77777777" w:rsidR="003739B6" w:rsidRDefault="003739B6" w:rsidP="00BA6CB9">
      <w:pPr>
        <w:spacing w:after="0" w:line="240" w:lineRule="auto"/>
      </w:pPr>
      <w:r>
        <w:separator/>
      </w:r>
    </w:p>
  </w:endnote>
  <w:endnote w:type="continuationSeparator" w:id="0">
    <w:p w14:paraId="2071CD25" w14:textId="77777777" w:rsidR="003739B6" w:rsidRDefault="003739B6" w:rsidP="00BA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charset w:val="01"/>
    <w:family w:val="roman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1B5A1" w14:textId="77777777" w:rsidR="00D659E3" w:rsidRDefault="00D659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035309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p w14:paraId="5F8E7902" w14:textId="45427C62" w:rsidR="0037742A" w:rsidRPr="00C97288" w:rsidRDefault="0037742A" w:rsidP="0037742A">
        <w:pPr>
          <w:pStyle w:val="Stopka"/>
          <w:jc w:val="right"/>
          <w:rPr>
            <w:rFonts w:ascii="Century Gothic" w:hAnsi="Century Gothic"/>
            <w:sz w:val="20"/>
            <w:szCs w:val="20"/>
          </w:rPr>
        </w:pPr>
        <w:r w:rsidRPr="00C97288">
          <w:rPr>
            <w:rFonts w:ascii="Century Gothic" w:hAnsi="Century Gothic"/>
            <w:sz w:val="20"/>
            <w:szCs w:val="20"/>
          </w:rPr>
          <w:fldChar w:fldCharType="begin"/>
        </w:r>
        <w:r w:rsidRPr="00C97288">
          <w:rPr>
            <w:rFonts w:ascii="Century Gothic" w:hAnsi="Century Gothic"/>
            <w:sz w:val="20"/>
            <w:szCs w:val="20"/>
          </w:rPr>
          <w:instrText>PAGE   \* MERGEFORMAT</w:instrText>
        </w:r>
        <w:r w:rsidRPr="00C97288">
          <w:rPr>
            <w:rFonts w:ascii="Century Gothic" w:hAnsi="Century Gothic"/>
            <w:sz w:val="20"/>
            <w:szCs w:val="20"/>
          </w:rPr>
          <w:fldChar w:fldCharType="separate"/>
        </w:r>
        <w:r w:rsidR="00E130DA">
          <w:rPr>
            <w:rFonts w:ascii="Century Gothic" w:hAnsi="Century Gothic"/>
            <w:noProof/>
            <w:sz w:val="20"/>
            <w:szCs w:val="20"/>
          </w:rPr>
          <w:t>6</w:t>
        </w:r>
        <w:r w:rsidRPr="00C97288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0C476" w14:textId="77777777" w:rsidR="00D659E3" w:rsidRDefault="00D659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598A6" w14:textId="77777777" w:rsidR="003739B6" w:rsidRDefault="003739B6" w:rsidP="00BA6CB9">
      <w:pPr>
        <w:spacing w:after="0" w:line="240" w:lineRule="auto"/>
      </w:pPr>
      <w:r>
        <w:separator/>
      </w:r>
    </w:p>
  </w:footnote>
  <w:footnote w:type="continuationSeparator" w:id="0">
    <w:p w14:paraId="3D2DC16C" w14:textId="77777777" w:rsidR="003739B6" w:rsidRDefault="003739B6" w:rsidP="00BA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2AE9F" w14:textId="4DFA27C9" w:rsidR="00D659E3" w:rsidRDefault="00D659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7FA46" w14:textId="10D52908" w:rsidR="00D659E3" w:rsidRDefault="00D659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8D595" w14:textId="044108C5" w:rsidR="00D659E3" w:rsidRDefault="00D659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3EB"/>
    <w:multiLevelType w:val="hybridMultilevel"/>
    <w:tmpl w:val="F4AACF44"/>
    <w:lvl w:ilvl="0" w:tplc="0C94FB12">
      <w:start w:val="1"/>
      <w:numFmt w:val="decimal"/>
      <w:pStyle w:val="Listanumerowana"/>
      <w:lvlText w:val="(%1)"/>
      <w:lvlJc w:val="left"/>
      <w:pPr>
        <w:tabs>
          <w:tab w:val="left" w:pos="709"/>
        </w:tabs>
        <w:ind w:left="709" w:hanging="709"/>
      </w:pPr>
      <w:rPr>
        <w:rFonts w:ascii="Times New Roman" w:hAnsi="Times New Roman" w:cs="Times New Roman" w:hint="default"/>
        <w:b w:val="0"/>
        <w:i w:val="0"/>
      </w:rPr>
    </w:lvl>
    <w:lvl w:ilvl="1" w:tplc="ABFC9030">
      <w:start w:val="1"/>
      <w:numFmt w:val="lowerLetter"/>
      <w:pStyle w:val="ListNumberLevel2"/>
      <w:lvlText w:val="(%2)"/>
      <w:lvlJc w:val="left"/>
      <w:pPr>
        <w:tabs>
          <w:tab w:val="left" w:pos="1417"/>
        </w:tabs>
        <w:ind w:left="1417" w:hanging="708"/>
      </w:pPr>
      <w:rPr>
        <w:rFonts w:hint="default"/>
        <w:i w:val="0"/>
      </w:rPr>
    </w:lvl>
    <w:lvl w:ilvl="2" w:tplc="EF2626E2">
      <w:start w:val="1"/>
      <w:numFmt w:val="bullet"/>
      <w:pStyle w:val="ListNumberLevel3"/>
      <w:lvlText w:val="–"/>
      <w:lvlJc w:val="left"/>
      <w:pPr>
        <w:tabs>
          <w:tab w:val="left" w:pos="2126"/>
        </w:tabs>
        <w:ind w:left="2126" w:hanging="709"/>
      </w:pPr>
      <w:rPr>
        <w:rFonts w:ascii="Times New Roman" w:hAnsi="Times New Roman" w:hint="default"/>
      </w:rPr>
    </w:lvl>
    <w:lvl w:ilvl="3" w:tplc="15EC6BF2">
      <w:start w:val="1"/>
      <w:numFmt w:val="bullet"/>
      <w:pStyle w:val="ListNumberLevel4"/>
      <w:lvlText w:val=""/>
      <w:lvlJc w:val="left"/>
      <w:pPr>
        <w:tabs>
          <w:tab w:val="left" w:pos="2835"/>
        </w:tabs>
        <w:ind w:left="2835" w:hanging="709"/>
      </w:pPr>
      <w:rPr>
        <w:rFonts w:ascii="Symbol" w:hAnsi="Symbol" w:hint="default"/>
      </w:rPr>
    </w:lvl>
    <w:lvl w:ilvl="4" w:tplc="A858BD42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 w:tplc="3BE882CA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 w:tplc="05DC380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plc="8A9615AA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plc="624C5DF6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230FE"/>
    <w:multiLevelType w:val="hybridMultilevel"/>
    <w:tmpl w:val="9AE27A1A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013DF"/>
    <w:multiLevelType w:val="hybridMultilevel"/>
    <w:tmpl w:val="23865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47871"/>
    <w:multiLevelType w:val="hybridMultilevel"/>
    <w:tmpl w:val="B0AC544C"/>
    <w:lvl w:ilvl="0" w:tplc="7D4C3DCA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17B7B6A"/>
    <w:multiLevelType w:val="hybridMultilevel"/>
    <w:tmpl w:val="E500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BB07A8"/>
    <w:multiLevelType w:val="hybridMultilevel"/>
    <w:tmpl w:val="23865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B2617"/>
    <w:multiLevelType w:val="hybridMultilevel"/>
    <w:tmpl w:val="A86CE0E4"/>
    <w:lvl w:ilvl="0" w:tplc="08D091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875B7A"/>
    <w:multiLevelType w:val="hybridMultilevel"/>
    <w:tmpl w:val="9A2ABE82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F3EB0"/>
    <w:multiLevelType w:val="hybridMultilevel"/>
    <w:tmpl w:val="14BE05F4"/>
    <w:lvl w:ilvl="0" w:tplc="D8C45A20">
      <w:start w:val="1"/>
      <w:numFmt w:val="bullet"/>
      <w:lvlText w:val="-"/>
      <w:lvlJc w:val="left"/>
      <w:pPr>
        <w:ind w:left="1200" w:hanging="360"/>
      </w:pPr>
      <w:rPr>
        <w:rFonts w:ascii="Arial" w:hAnsi="Aria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AA073BC"/>
    <w:multiLevelType w:val="hybridMultilevel"/>
    <w:tmpl w:val="82A2F1B8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E57C4"/>
    <w:multiLevelType w:val="hybridMultilevel"/>
    <w:tmpl w:val="EC3679FC"/>
    <w:lvl w:ilvl="0" w:tplc="5B2049EA">
      <w:start w:val="1"/>
      <w:numFmt w:val="decimal"/>
      <w:lvlText w:val="%1)"/>
      <w:lvlJc w:val="left"/>
      <w:pPr>
        <w:ind w:left="360" w:hanging="360"/>
      </w:pPr>
      <w:rPr>
        <w:rFonts w:ascii="Century Gothic" w:eastAsiaTheme="minorHAnsi" w:hAnsi="Century Gothic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062998"/>
    <w:multiLevelType w:val="hybridMultilevel"/>
    <w:tmpl w:val="4B709C72"/>
    <w:lvl w:ilvl="0" w:tplc="3744767A">
      <w:start w:val="1"/>
      <w:numFmt w:val="lowerLetter"/>
      <w:lvlText w:val="%1)"/>
      <w:lvlJc w:val="left"/>
      <w:pPr>
        <w:ind w:left="1068" w:hanging="360"/>
      </w:pPr>
      <w:rPr>
        <w:rFonts w:ascii="Century Gothic" w:hAnsi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05"/>
    <w:rsid w:val="000010FD"/>
    <w:rsid w:val="00004996"/>
    <w:rsid w:val="0001196F"/>
    <w:rsid w:val="00014E6A"/>
    <w:rsid w:val="000336B1"/>
    <w:rsid w:val="00040361"/>
    <w:rsid w:val="00046DC1"/>
    <w:rsid w:val="00070A59"/>
    <w:rsid w:val="000848E8"/>
    <w:rsid w:val="000967D4"/>
    <w:rsid w:val="000A0F77"/>
    <w:rsid w:val="000A19D0"/>
    <w:rsid w:val="000A1F57"/>
    <w:rsid w:val="000C0127"/>
    <w:rsid w:val="000C136E"/>
    <w:rsid w:val="000C4C9C"/>
    <w:rsid w:val="000D02C3"/>
    <w:rsid w:val="000D40A2"/>
    <w:rsid w:val="000D45D2"/>
    <w:rsid w:val="000E544E"/>
    <w:rsid w:val="000F4124"/>
    <w:rsid w:val="000F5CC5"/>
    <w:rsid w:val="00101769"/>
    <w:rsid w:val="00115601"/>
    <w:rsid w:val="00115C10"/>
    <w:rsid w:val="00121389"/>
    <w:rsid w:val="00122561"/>
    <w:rsid w:val="001263A2"/>
    <w:rsid w:val="00140CAC"/>
    <w:rsid w:val="001573EF"/>
    <w:rsid w:val="00171EB9"/>
    <w:rsid w:val="00172DF5"/>
    <w:rsid w:val="0017371B"/>
    <w:rsid w:val="00182B89"/>
    <w:rsid w:val="001839AD"/>
    <w:rsid w:val="00187A8A"/>
    <w:rsid w:val="00192FDC"/>
    <w:rsid w:val="0019700B"/>
    <w:rsid w:val="001B40B4"/>
    <w:rsid w:val="001B5A17"/>
    <w:rsid w:val="001C5402"/>
    <w:rsid w:val="001D42E7"/>
    <w:rsid w:val="001D676E"/>
    <w:rsid w:val="001D6FFE"/>
    <w:rsid w:val="001D7BD0"/>
    <w:rsid w:val="001F48F4"/>
    <w:rsid w:val="00211BEE"/>
    <w:rsid w:val="002206E9"/>
    <w:rsid w:val="00223705"/>
    <w:rsid w:val="00227C8A"/>
    <w:rsid w:val="00237EB6"/>
    <w:rsid w:val="002429AC"/>
    <w:rsid w:val="00245A59"/>
    <w:rsid w:val="00246912"/>
    <w:rsid w:val="00246DDD"/>
    <w:rsid w:val="00252897"/>
    <w:rsid w:val="0026312E"/>
    <w:rsid w:val="00263EDC"/>
    <w:rsid w:val="00264785"/>
    <w:rsid w:val="00272668"/>
    <w:rsid w:val="002746E3"/>
    <w:rsid w:val="00277187"/>
    <w:rsid w:val="0029515F"/>
    <w:rsid w:val="002A7099"/>
    <w:rsid w:val="002C08C0"/>
    <w:rsid w:val="002D35D0"/>
    <w:rsid w:val="002E363A"/>
    <w:rsid w:val="002E41FA"/>
    <w:rsid w:val="002E6705"/>
    <w:rsid w:val="002E6C94"/>
    <w:rsid w:val="002F28F9"/>
    <w:rsid w:val="00320350"/>
    <w:rsid w:val="00321D82"/>
    <w:rsid w:val="00322428"/>
    <w:rsid w:val="00324372"/>
    <w:rsid w:val="0033315F"/>
    <w:rsid w:val="003367B2"/>
    <w:rsid w:val="00337BEE"/>
    <w:rsid w:val="0034357D"/>
    <w:rsid w:val="00345730"/>
    <w:rsid w:val="003564DF"/>
    <w:rsid w:val="003739B6"/>
    <w:rsid w:val="0037742A"/>
    <w:rsid w:val="003803A7"/>
    <w:rsid w:val="00382635"/>
    <w:rsid w:val="00383B29"/>
    <w:rsid w:val="003906F3"/>
    <w:rsid w:val="003935E2"/>
    <w:rsid w:val="003A2C2B"/>
    <w:rsid w:val="003A31C0"/>
    <w:rsid w:val="003A74AA"/>
    <w:rsid w:val="003B4279"/>
    <w:rsid w:val="003B45DE"/>
    <w:rsid w:val="003C0EF2"/>
    <w:rsid w:val="003C385B"/>
    <w:rsid w:val="003D02A9"/>
    <w:rsid w:val="003E3274"/>
    <w:rsid w:val="003F3DE7"/>
    <w:rsid w:val="003F4555"/>
    <w:rsid w:val="003F6DD1"/>
    <w:rsid w:val="00413779"/>
    <w:rsid w:val="0041392F"/>
    <w:rsid w:val="004212FA"/>
    <w:rsid w:val="004220A0"/>
    <w:rsid w:val="00423CC9"/>
    <w:rsid w:val="00425CBA"/>
    <w:rsid w:val="00434F1F"/>
    <w:rsid w:val="0044528E"/>
    <w:rsid w:val="004466B8"/>
    <w:rsid w:val="0045075E"/>
    <w:rsid w:val="00455D74"/>
    <w:rsid w:val="0046613D"/>
    <w:rsid w:val="00485627"/>
    <w:rsid w:val="004972FA"/>
    <w:rsid w:val="004A42EE"/>
    <w:rsid w:val="004B29C6"/>
    <w:rsid w:val="004D6AA2"/>
    <w:rsid w:val="004E7896"/>
    <w:rsid w:val="004F6640"/>
    <w:rsid w:val="00505621"/>
    <w:rsid w:val="005067A8"/>
    <w:rsid w:val="005118F1"/>
    <w:rsid w:val="005248EC"/>
    <w:rsid w:val="00525DD1"/>
    <w:rsid w:val="00543E87"/>
    <w:rsid w:val="00547823"/>
    <w:rsid w:val="0055176F"/>
    <w:rsid w:val="00555A9B"/>
    <w:rsid w:val="00567A66"/>
    <w:rsid w:val="00575C10"/>
    <w:rsid w:val="00582AB2"/>
    <w:rsid w:val="005844D7"/>
    <w:rsid w:val="0059419D"/>
    <w:rsid w:val="00594546"/>
    <w:rsid w:val="005A1BC9"/>
    <w:rsid w:val="005C5174"/>
    <w:rsid w:val="005D12EF"/>
    <w:rsid w:val="005E0D68"/>
    <w:rsid w:val="005E346A"/>
    <w:rsid w:val="005E427A"/>
    <w:rsid w:val="005E5A36"/>
    <w:rsid w:val="005E6986"/>
    <w:rsid w:val="005E7FBC"/>
    <w:rsid w:val="005F0C82"/>
    <w:rsid w:val="00605A7F"/>
    <w:rsid w:val="0060653E"/>
    <w:rsid w:val="00616D11"/>
    <w:rsid w:val="00617818"/>
    <w:rsid w:val="006423E0"/>
    <w:rsid w:val="00644021"/>
    <w:rsid w:val="00646743"/>
    <w:rsid w:val="0065427D"/>
    <w:rsid w:val="006636BB"/>
    <w:rsid w:val="006678F4"/>
    <w:rsid w:val="006712AB"/>
    <w:rsid w:val="006730F7"/>
    <w:rsid w:val="00685868"/>
    <w:rsid w:val="006914CC"/>
    <w:rsid w:val="006A4C55"/>
    <w:rsid w:val="006A656A"/>
    <w:rsid w:val="006B466F"/>
    <w:rsid w:val="006C00AB"/>
    <w:rsid w:val="006D6321"/>
    <w:rsid w:val="006D7F2F"/>
    <w:rsid w:val="006E0784"/>
    <w:rsid w:val="006F39CB"/>
    <w:rsid w:val="006F7BF6"/>
    <w:rsid w:val="00727A03"/>
    <w:rsid w:val="0073773C"/>
    <w:rsid w:val="00747F5E"/>
    <w:rsid w:val="00756156"/>
    <w:rsid w:val="00757105"/>
    <w:rsid w:val="00760E42"/>
    <w:rsid w:val="0077341E"/>
    <w:rsid w:val="0077792E"/>
    <w:rsid w:val="00786294"/>
    <w:rsid w:val="007969F0"/>
    <w:rsid w:val="007C7CE6"/>
    <w:rsid w:val="007D0AB0"/>
    <w:rsid w:val="007E087D"/>
    <w:rsid w:val="007E2F0D"/>
    <w:rsid w:val="007E4ACB"/>
    <w:rsid w:val="007E5601"/>
    <w:rsid w:val="007E71F0"/>
    <w:rsid w:val="007F32C6"/>
    <w:rsid w:val="007F6650"/>
    <w:rsid w:val="008119C6"/>
    <w:rsid w:val="00812B91"/>
    <w:rsid w:val="008215CF"/>
    <w:rsid w:val="00831FF1"/>
    <w:rsid w:val="008450DA"/>
    <w:rsid w:val="00853C60"/>
    <w:rsid w:val="00854669"/>
    <w:rsid w:val="00856B0A"/>
    <w:rsid w:val="0086551B"/>
    <w:rsid w:val="00865642"/>
    <w:rsid w:val="00876291"/>
    <w:rsid w:val="008924CB"/>
    <w:rsid w:val="008A0C4E"/>
    <w:rsid w:val="008A34DE"/>
    <w:rsid w:val="008B736D"/>
    <w:rsid w:val="008C4666"/>
    <w:rsid w:val="008D2D05"/>
    <w:rsid w:val="008D5FFE"/>
    <w:rsid w:val="008E6246"/>
    <w:rsid w:val="008F6FA1"/>
    <w:rsid w:val="00901101"/>
    <w:rsid w:val="0092189A"/>
    <w:rsid w:val="00923117"/>
    <w:rsid w:val="0094230A"/>
    <w:rsid w:val="0094572D"/>
    <w:rsid w:val="009510EB"/>
    <w:rsid w:val="00952062"/>
    <w:rsid w:val="0096539B"/>
    <w:rsid w:val="00966254"/>
    <w:rsid w:val="0097684B"/>
    <w:rsid w:val="009833CD"/>
    <w:rsid w:val="009929FA"/>
    <w:rsid w:val="00993F83"/>
    <w:rsid w:val="009A26FE"/>
    <w:rsid w:val="009A644E"/>
    <w:rsid w:val="009B19A4"/>
    <w:rsid w:val="009C2B27"/>
    <w:rsid w:val="009D462E"/>
    <w:rsid w:val="009E76B2"/>
    <w:rsid w:val="00A06C24"/>
    <w:rsid w:val="00A06E7E"/>
    <w:rsid w:val="00A10D36"/>
    <w:rsid w:val="00A14EA4"/>
    <w:rsid w:val="00A203AD"/>
    <w:rsid w:val="00A41AD6"/>
    <w:rsid w:val="00A4395E"/>
    <w:rsid w:val="00A66BBC"/>
    <w:rsid w:val="00A718B8"/>
    <w:rsid w:val="00A71CA1"/>
    <w:rsid w:val="00A74E03"/>
    <w:rsid w:val="00A75056"/>
    <w:rsid w:val="00A757A5"/>
    <w:rsid w:val="00A97E62"/>
    <w:rsid w:val="00AA2DA3"/>
    <w:rsid w:val="00AB1701"/>
    <w:rsid w:val="00AC3476"/>
    <w:rsid w:val="00AD4C7D"/>
    <w:rsid w:val="00AF5636"/>
    <w:rsid w:val="00B01F5F"/>
    <w:rsid w:val="00B100EC"/>
    <w:rsid w:val="00B167E8"/>
    <w:rsid w:val="00B20280"/>
    <w:rsid w:val="00B233B4"/>
    <w:rsid w:val="00B239A2"/>
    <w:rsid w:val="00B4274F"/>
    <w:rsid w:val="00B60440"/>
    <w:rsid w:val="00B61051"/>
    <w:rsid w:val="00B67BE5"/>
    <w:rsid w:val="00B70123"/>
    <w:rsid w:val="00B72DB4"/>
    <w:rsid w:val="00B80310"/>
    <w:rsid w:val="00B807ED"/>
    <w:rsid w:val="00B90B9C"/>
    <w:rsid w:val="00B90BFD"/>
    <w:rsid w:val="00B975DB"/>
    <w:rsid w:val="00BA6CB9"/>
    <w:rsid w:val="00BB3DED"/>
    <w:rsid w:val="00BB445F"/>
    <w:rsid w:val="00BC2026"/>
    <w:rsid w:val="00BD0552"/>
    <w:rsid w:val="00BD5CC6"/>
    <w:rsid w:val="00BF2455"/>
    <w:rsid w:val="00C10298"/>
    <w:rsid w:val="00C45222"/>
    <w:rsid w:val="00C52267"/>
    <w:rsid w:val="00C636C2"/>
    <w:rsid w:val="00C648B6"/>
    <w:rsid w:val="00C77C29"/>
    <w:rsid w:val="00C813F6"/>
    <w:rsid w:val="00C84D35"/>
    <w:rsid w:val="00C8504F"/>
    <w:rsid w:val="00C86E86"/>
    <w:rsid w:val="00C87047"/>
    <w:rsid w:val="00C93DE6"/>
    <w:rsid w:val="00C95E41"/>
    <w:rsid w:val="00C96185"/>
    <w:rsid w:val="00C97288"/>
    <w:rsid w:val="00CA55D3"/>
    <w:rsid w:val="00CB4E96"/>
    <w:rsid w:val="00CC3451"/>
    <w:rsid w:val="00CD3EE2"/>
    <w:rsid w:val="00CE78DD"/>
    <w:rsid w:val="00CF6F62"/>
    <w:rsid w:val="00CF79F9"/>
    <w:rsid w:val="00D04F48"/>
    <w:rsid w:val="00D06421"/>
    <w:rsid w:val="00D06E11"/>
    <w:rsid w:val="00D173CF"/>
    <w:rsid w:val="00D24066"/>
    <w:rsid w:val="00D351DB"/>
    <w:rsid w:val="00D54450"/>
    <w:rsid w:val="00D65513"/>
    <w:rsid w:val="00D659E3"/>
    <w:rsid w:val="00D66457"/>
    <w:rsid w:val="00D66923"/>
    <w:rsid w:val="00D67721"/>
    <w:rsid w:val="00DA2727"/>
    <w:rsid w:val="00DB3807"/>
    <w:rsid w:val="00DB4854"/>
    <w:rsid w:val="00DD7CEA"/>
    <w:rsid w:val="00DE0D20"/>
    <w:rsid w:val="00DE139B"/>
    <w:rsid w:val="00DF3E1D"/>
    <w:rsid w:val="00E03041"/>
    <w:rsid w:val="00E0665D"/>
    <w:rsid w:val="00E06ABE"/>
    <w:rsid w:val="00E130DA"/>
    <w:rsid w:val="00E223A4"/>
    <w:rsid w:val="00E24260"/>
    <w:rsid w:val="00E27FC9"/>
    <w:rsid w:val="00E44BDE"/>
    <w:rsid w:val="00E65F22"/>
    <w:rsid w:val="00E83234"/>
    <w:rsid w:val="00E83FE0"/>
    <w:rsid w:val="00E9665F"/>
    <w:rsid w:val="00E97461"/>
    <w:rsid w:val="00E9753C"/>
    <w:rsid w:val="00EA2EF3"/>
    <w:rsid w:val="00EA4EEA"/>
    <w:rsid w:val="00EB3191"/>
    <w:rsid w:val="00EB434E"/>
    <w:rsid w:val="00EC4EDD"/>
    <w:rsid w:val="00ED4296"/>
    <w:rsid w:val="00ED579F"/>
    <w:rsid w:val="00ED6DD3"/>
    <w:rsid w:val="00EE1475"/>
    <w:rsid w:val="00EE79F4"/>
    <w:rsid w:val="00EF1367"/>
    <w:rsid w:val="00EF1FFA"/>
    <w:rsid w:val="00F14E5E"/>
    <w:rsid w:val="00F17790"/>
    <w:rsid w:val="00F17AD7"/>
    <w:rsid w:val="00F24CB2"/>
    <w:rsid w:val="00F24EB7"/>
    <w:rsid w:val="00F40E60"/>
    <w:rsid w:val="00F53574"/>
    <w:rsid w:val="00F54E9D"/>
    <w:rsid w:val="00F55BF5"/>
    <w:rsid w:val="00F677D9"/>
    <w:rsid w:val="00F76D1B"/>
    <w:rsid w:val="00F86125"/>
    <w:rsid w:val="00FB0E6C"/>
    <w:rsid w:val="00FB50AF"/>
    <w:rsid w:val="00FD7645"/>
    <w:rsid w:val="00FE3CCC"/>
    <w:rsid w:val="00FE53B8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2368"/>
  <w15:chartTrackingRefBased/>
  <w15:docId w15:val="{BBF6EE8B-B6F4-4E98-B270-6BA5363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30DA"/>
    <w:pPr>
      <w:spacing w:before="120" w:after="120" w:line="276" w:lineRule="auto"/>
      <w:jc w:val="center"/>
      <w:outlineLvl w:val="0"/>
    </w:pPr>
    <w:rPr>
      <w:rFonts w:ascii="Century Gothic" w:hAnsi="Century Gothic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E130DA"/>
    <w:pPr>
      <w:spacing w:before="120" w:after="120" w:line="360" w:lineRule="auto"/>
      <w:jc w:val="center"/>
      <w:outlineLvl w:val="1"/>
    </w:pPr>
    <w:rPr>
      <w:rFonts w:ascii="Century Gothic" w:hAnsi="Century Gothic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E130DA"/>
    <w:pPr>
      <w:outlineLvl w:val="2"/>
    </w:pPr>
    <w:rPr>
      <w:rFonts w:ascii="Century Gothic" w:hAnsi="Century Gothic"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5"/>
    </w:pPr>
    <w:rPr>
      <w:rFonts w:ascii="Arial" w:eastAsia="Arial" w:hAnsi="Arial" w:cs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7"/>
    </w:pPr>
    <w:rPr>
      <w:rFonts w:ascii="Arial" w:eastAsia="Arial" w:hAnsi="Arial" w:cs="Arial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List Paragraph_0"/>
    <w:basedOn w:val="Normalny"/>
    <w:link w:val="AkapitzlistZnak"/>
    <w:qFormat/>
    <w:rsid w:val="007571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BA6C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A6CB9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BA6CB9"/>
    <w:rPr>
      <w:vertAlign w:val="superscript"/>
    </w:rPr>
  </w:style>
  <w:style w:type="paragraph" w:styleId="Nagwek">
    <w:name w:val="header"/>
    <w:basedOn w:val="Normalny"/>
    <w:link w:val="NagwekZnak"/>
    <w:unhideWhenUsed/>
    <w:rsid w:val="003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742A"/>
  </w:style>
  <w:style w:type="paragraph" w:styleId="Stopka">
    <w:name w:val="footer"/>
    <w:basedOn w:val="Normalny"/>
    <w:link w:val="StopkaZnak"/>
    <w:uiPriority w:val="99"/>
    <w:unhideWhenUsed/>
    <w:rsid w:val="003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42A"/>
  </w:style>
  <w:style w:type="character" w:styleId="Odwoaniedokomentarza">
    <w:name w:val="annotation reference"/>
    <w:basedOn w:val="Domylnaczcionkaakapitu"/>
    <w:uiPriority w:val="99"/>
    <w:unhideWhenUsed/>
    <w:rsid w:val="00D67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67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67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67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772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130DA"/>
    <w:rPr>
      <w:rFonts w:ascii="Century Gothic" w:hAnsi="Century Gothic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E130DA"/>
    <w:rPr>
      <w:rFonts w:ascii="Century Gothic" w:hAnsi="Century Gothic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E130DA"/>
    <w:rPr>
      <w:rFonts w:ascii="Century Gothic" w:hAnsi="Century Gothic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B90BFD"/>
    <w:rPr>
      <w:rFonts w:ascii="Cambria" w:eastAsia="Cambria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90BFD"/>
    <w:rPr>
      <w:rFonts w:ascii="Arial" w:eastAsia="Arial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90BFD"/>
    <w:rPr>
      <w:rFonts w:ascii="Arial" w:eastAsia="Arial" w:hAnsi="Arial" w:cs="Arial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90BFD"/>
    <w:rPr>
      <w:rFonts w:ascii="Arial" w:eastAsia="Arial" w:hAnsi="Arial" w:cs="Arial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90BFD"/>
    <w:rPr>
      <w:rFonts w:ascii="Arial" w:eastAsia="Arial" w:hAnsi="Arial" w:cs="Arial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B90BFD"/>
    <w:rPr>
      <w:rFonts w:ascii="Arial" w:eastAsia="Arial" w:hAnsi="Arial" w:cs="Arial"/>
      <w:i/>
      <w:iCs/>
      <w:sz w:val="21"/>
      <w:szCs w:val="21"/>
      <w:lang w:eastAsia="pl-PL"/>
    </w:rPr>
  </w:style>
  <w:style w:type="character" w:customStyle="1" w:styleId="Heading1Char">
    <w:name w:val="Heading 1 Char"/>
    <w:uiPriority w:val="9"/>
    <w:rsid w:val="00B90BF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B90BF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B90BF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B90BFD"/>
    <w:rPr>
      <w:rFonts w:ascii="Arial" w:eastAsia="Arial" w:hAnsi="Arial" w:cs="Arial"/>
      <w:b/>
      <w:bCs/>
      <w:sz w:val="26"/>
      <w:szCs w:val="26"/>
    </w:rPr>
  </w:style>
  <w:style w:type="paragraph" w:styleId="Bezodstpw">
    <w:name w:val="No Spacing"/>
    <w:uiPriority w:val="1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90BFD"/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90B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B90BFD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B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BFD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B90BFD"/>
  </w:style>
  <w:style w:type="character" w:customStyle="1" w:styleId="FooterChar">
    <w:name w:val="Footer Char"/>
    <w:basedOn w:val="Domylnaczcionkaakapitu"/>
    <w:uiPriority w:val="99"/>
    <w:rsid w:val="00B90BFD"/>
  </w:style>
  <w:style w:type="table" w:customStyle="1" w:styleId="TableGridLight1">
    <w:name w:val="Table Grid Light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1">
    <w:name w:val="Grid Table 1 Light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1">
    <w:name w:val="Grid Table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1">
    <w:name w:val="Grid Table 4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1">
    <w:name w:val="Grid Table 5 Dark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Tabelasiatki5ciemnaakcent11">
    <w:name w:val="Tabela siatki 5 — ciemna — ak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Tabelasiatki5ciemnaakcent41">
    <w:name w:val="Tabela siatki 5 — ciemna — ak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1">
    <w:name w:val="Grid Table 6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1">
    <w:name w:val="List Table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1">
    <w:name w:val="List Table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1">
    <w:name w:val="List Table 5 Dark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1">
    <w:name w:val="List Table 6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uiPriority w:val="99"/>
    <w:unhideWhenUsed/>
    <w:rsid w:val="00B90BFD"/>
    <w:rPr>
      <w:color w:val="0000FF"/>
      <w:u w:val="single"/>
    </w:rPr>
  </w:style>
  <w:style w:type="character" w:customStyle="1" w:styleId="FootnoteTextChar">
    <w:name w:val="Footnote Text Char"/>
    <w:uiPriority w:val="99"/>
    <w:rsid w:val="00B90BFD"/>
    <w:rPr>
      <w:sz w:val="18"/>
    </w:rPr>
  </w:style>
  <w:style w:type="paragraph" w:styleId="Spistreci1">
    <w:name w:val="toc 1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Tekstpodstawowy3">
    <w:name w:val="Body Text 3"/>
    <w:basedOn w:val="Normalny"/>
    <w:link w:val="Tekstpodstawowy3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90B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BF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90BFD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2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iPriority w:val="99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OOTNOTES Znak"/>
    <w:basedOn w:val="Domylnaczcionkaakapitu"/>
    <w:link w:val="Tekstprzypisudolnego"/>
    <w:uiPriority w:val="99"/>
    <w:rsid w:val="00B90B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 Ola,Numbering - Footnote,ftref,Odwołanie przypisu,EN Footnote Reference,Times 10 Point,Exposant 3 Point,Footnote symbol,Footnote reference number,note TESI,stylish,Footnote Reference Number,SUPERS,Ref,number"/>
    <w:uiPriority w:val="99"/>
    <w:rsid w:val="00B90BFD"/>
    <w:rPr>
      <w:vertAlign w:val="superscript"/>
    </w:rPr>
  </w:style>
  <w:style w:type="paragraph" w:styleId="Mapadokumentu">
    <w:name w:val="Document Map"/>
    <w:basedOn w:val="Normalny"/>
    <w:link w:val="Mapadokumentu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B90BFD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ZnakZnak">
    <w:name w:val="Znak Znak"/>
    <w:basedOn w:val="Normalny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90BFD"/>
  </w:style>
  <w:style w:type="paragraph" w:customStyle="1" w:styleId="Default">
    <w:name w:val="Default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qFormat/>
    <w:rsid w:val="00B90BFD"/>
    <w:rPr>
      <w:b/>
      <w:bCs/>
    </w:rPr>
  </w:style>
  <w:style w:type="character" w:styleId="Uwydatnienie">
    <w:name w:val="Emphasis"/>
    <w:qFormat/>
    <w:rsid w:val="00B90BFD"/>
    <w:rPr>
      <w:i/>
      <w:iCs/>
    </w:rPr>
  </w:style>
  <w:style w:type="paragraph" w:styleId="NormalnyWeb">
    <w:name w:val="Normal (Web)"/>
    <w:basedOn w:val="Normalny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uchili">
    <w:name w:val="luc_hili"/>
    <w:rsid w:val="00B90BFD"/>
  </w:style>
  <w:style w:type="paragraph" w:styleId="Listanumerowana">
    <w:name w:val="List Number"/>
    <w:basedOn w:val="Normalny"/>
    <w:uiPriority w:val="99"/>
    <w:rsid w:val="00B90BFD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ormalny"/>
    <w:rsid w:val="00B90BFD"/>
    <w:pPr>
      <w:numPr>
        <w:ilvl w:val="1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ormalny"/>
    <w:rsid w:val="00B90BFD"/>
    <w:pPr>
      <w:numPr>
        <w:ilvl w:val="2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ormalny"/>
    <w:rsid w:val="00B90BFD"/>
    <w:pPr>
      <w:numPr>
        <w:ilvl w:val="3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M1">
    <w:name w:val="CM1"/>
    <w:basedOn w:val="Default"/>
    <w:next w:val="Default"/>
    <w:uiPriority w:val="99"/>
    <w:rsid w:val="00B90BFD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90BFD"/>
    <w:rPr>
      <w:rFonts w:ascii="EUAlbertina" w:hAnsi="EUAlbertina" w:cs="Times New Roman"/>
      <w:color w:val="auto"/>
    </w:rPr>
  </w:style>
  <w:style w:type="paragraph" w:styleId="Tekstpodstawowywcity">
    <w:name w:val="Body Text Indent"/>
    <w:basedOn w:val="Normalny"/>
    <w:link w:val="Tekstpodstawowywcity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0BF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ListTable4-Accent510">
    <w:name w:val="List Table 4 - Accent 510"/>
    <w:basedOn w:val="Standardowy"/>
    <w:uiPriority w:val="99"/>
    <w:rsid w:val="00B90BFD"/>
    <w:pPr>
      <w:spacing w:after="0" w:line="240" w:lineRule="auto"/>
    </w:pPr>
    <w:rPr>
      <w:rFonts w:ascii="Calibri" w:eastAsia="Calibri" w:hAnsi="Calibri" w:cs="Calibri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B90BFD"/>
  </w:style>
  <w:style w:type="table" w:customStyle="1" w:styleId="Tabela-Siatka1">
    <w:name w:val="Tabela - Siatka1"/>
    <w:basedOn w:val="Standardowy"/>
    <w:next w:val="Tabela-Siatka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sw tekst Znak,Kolorowa lista — akcent 11 Znak,List Paragraph_0 Znak"/>
    <w:link w:val="Akapitzlist"/>
    <w:qFormat/>
    <w:locked/>
    <w:rsid w:val="00B90BFD"/>
  </w:style>
  <w:style w:type="paragraph" w:customStyle="1" w:styleId="USTustnpkodeksu">
    <w:name w:val="UST(§) – ust. (§ np. kodeksu)"/>
    <w:basedOn w:val="Normalny"/>
    <w:uiPriority w:val="12"/>
    <w:qFormat/>
    <w:rsid w:val="00B90BFD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table" w:customStyle="1" w:styleId="GridTable5Dark-Accent1">
    <w:name w:val="Grid Table 5 Dark- Accent 1"/>
    <w:basedOn w:val="Standardowy"/>
    <w:uiPriority w:val="99"/>
    <w:rsid w:val="008C4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4">
    <w:name w:val="Grid Table 5 Dark- Accent 4"/>
    <w:basedOn w:val="Standardowy"/>
    <w:uiPriority w:val="99"/>
    <w:rsid w:val="008C4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ListTable4-Accent511">
    <w:name w:val="List Table 4 - Accent 511"/>
    <w:basedOn w:val="Standardowy"/>
    <w:uiPriority w:val="99"/>
    <w:rsid w:val="008C4666"/>
    <w:pPr>
      <w:spacing w:after="0" w:line="240" w:lineRule="auto"/>
    </w:pPr>
    <w:rPr>
      <w:rFonts w:ascii="Calibri" w:eastAsia="Calibri" w:hAnsi="Calibri" w:cs="Calibri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character" w:customStyle="1" w:styleId="markedcontent">
    <w:name w:val="markedcontent"/>
    <w:rsid w:val="008C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B65B-C53E-4613-8481-41281368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1592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4 do Kontraktu Programowego Województwa Małopolskiego</vt:lpstr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4 do Kontraktu Programowego Województwa Małopolskiego</dc:title>
  <dc:subject/>
  <dc:creator>Sieradzon Wojciech</dc:creator>
  <cp:keywords/>
  <dc:description/>
  <cp:lastModifiedBy>Piskór, Adam</cp:lastModifiedBy>
  <cp:revision>2</cp:revision>
  <cp:lastPrinted>2023-05-09T09:18:00Z</cp:lastPrinted>
  <dcterms:created xsi:type="dcterms:W3CDTF">2025-08-04T07:36:00Z</dcterms:created>
  <dcterms:modified xsi:type="dcterms:W3CDTF">2025-08-04T07:36:00Z</dcterms:modified>
</cp:coreProperties>
</file>